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D6BDA" w14:textId="77777777" w:rsidR="0056752C" w:rsidRPr="0056752C" w:rsidRDefault="0056752C" w:rsidP="0056752C">
      <w:pPr>
        <w:spacing w:after="0" w:line="240" w:lineRule="auto"/>
        <w:ind w:firstLine="284"/>
        <w:jc w:val="right"/>
        <w:rPr>
          <w:rFonts w:asciiTheme="minorHAnsi" w:eastAsia="Montserrat" w:hAnsiTheme="minorHAnsi" w:cstheme="minorHAnsi"/>
          <w:sz w:val="20"/>
          <w:szCs w:val="20"/>
        </w:rPr>
      </w:pPr>
      <w:proofErr w:type="spellStart"/>
      <w:r w:rsidRPr="0056752C">
        <w:rPr>
          <w:rFonts w:asciiTheme="minorHAnsi" w:eastAsia="Montserrat" w:hAnsiTheme="minorHAnsi" w:cstheme="minorHAnsi"/>
          <w:sz w:val="20"/>
          <w:szCs w:val="20"/>
        </w:rPr>
        <w:t>Pirkimo</w:t>
      </w:r>
      <w:proofErr w:type="spellEnd"/>
      <w:r w:rsidRPr="0056752C">
        <w:rPr>
          <w:rFonts w:asciiTheme="minorHAnsi" w:eastAsia="Montserrat" w:hAnsiTheme="minorHAnsi" w:cstheme="minorHAnsi"/>
          <w:sz w:val="20"/>
          <w:szCs w:val="20"/>
        </w:rPr>
        <w:t xml:space="preserve"> </w:t>
      </w:r>
      <w:proofErr w:type="spellStart"/>
      <w:r w:rsidRPr="0056752C">
        <w:rPr>
          <w:rFonts w:asciiTheme="minorHAnsi" w:eastAsia="Montserrat" w:hAnsiTheme="minorHAnsi" w:cstheme="minorHAnsi"/>
          <w:sz w:val="20"/>
          <w:szCs w:val="20"/>
        </w:rPr>
        <w:t>sąlygų</w:t>
      </w:r>
      <w:proofErr w:type="spellEnd"/>
      <w:r w:rsidRPr="0056752C">
        <w:rPr>
          <w:rFonts w:asciiTheme="minorHAnsi" w:eastAsia="Montserrat" w:hAnsiTheme="minorHAnsi" w:cstheme="minorHAnsi"/>
          <w:sz w:val="20"/>
          <w:szCs w:val="20"/>
        </w:rPr>
        <w:t xml:space="preserve"> </w:t>
      </w:r>
    </w:p>
    <w:p w14:paraId="13FF780B" w14:textId="315B8FEB" w:rsidR="0056752C" w:rsidRPr="0056752C" w:rsidRDefault="0056752C" w:rsidP="0056752C">
      <w:pPr>
        <w:spacing w:after="0" w:line="240" w:lineRule="auto"/>
        <w:ind w:firstLine="284"/>
        <w:jc w:val="right"/>
        <w:rPr>
          <w:rFonts w:asciiTheme="minorHAnsi" w:eastAsia="Montserrat" w:hAnsiTheme="minorHAnsi" w:cstheme="minorHAnsi"/>
          <w:sz w:val="20"/>
          <w:szCs w:val="20"/>
        </w:rPr>
      </w:pPr>
      <w:r w:rsidRPr="0056752C">
        <w:rPr>
          <w:rFonts w:asciiTheme="minorHAnsi" w:eastAsia="Montserrat" w:hAnsiTheme="minorHAnsi" w:cstheme="minorHAnsi"/>
          <w:sz w:val="20"/>
          <w:szCs w:val="20"/>
        </w:rPr>
        <w:t xml:space="preserve">1 </w:t>
      </w:r>
      <w:proofErr w:type="spellStart"/>
      <w:r w:rsidRPr="0056752C">
        <w:rPr>
          <w:rFonts w:asciiTheme="minorHAnsi" w:eastAsia="Montserrat" w:hAnsiTheme="minorHAnsi" w:cstheme="minorHAnsi"/>
          <w:sz w:val="20"/>
          <w:szCs w:val="20"/>
        </w:rPr>
        <w:t>priedas</w:t>
      </w:r>
      <w:proofErr w:type="spellEnd"/>
    </w:p>
    <w:p w14:paraId="57053D35" w14:textId="77777777" w:rsidR="007F0A47" w:rsidRPr="0056752C" w:rsidRDefault="007F0A47" w:rsidP="00322315">
      <w:pPr>
        <w:spacing w:after="0"/>
        <w:jc w:val="center"/>
        <w:rPr>
          <w:rFonts w:asciiTheme="minorHAnsi" w:hAnsiTheme="minorHAnsi" w:cstheme="minorHAnsi"/>
          <w:b/>
          <w:bCs/>
          <w:sz w:val="20"/>
          <w:szCs w:val="20"/>
          <w:lang w:val="lt-LT"/>
        </w:rPr>
      </w:pPr>
    </w:p>
    <w:p w14:paraId="4007DECD" w14:textId="77777777" w:rsidR="007F0A47" w:rsidRPr="0056752C" w:rsidRDefault="007F0A47" w:rsidP="00322315">
      <w:pPr>
        <w:spacing w:after="0"/>
        <w:jc w:val="center"/>
        <w:rPr>
          <w:rFonts w:asciiTheme="minorHAnsi" w:hAnsiTheme="minorHAnsi" w:cstheme="minorHAnsi"/>
          <w:b/>
          <w:bCs/>
          <w:szCs w:val="24"/>
          <w:lang w:val="lt-LT"/>
        </w:rPr>
      </w:pPr>
    </w:p>
    <w:p w14:paraId="3D620BAE" w14:textId="7F0A0FAA" w:rsidR="00322315" w:rsidRPr="0056752C" w:rsidRDefault="00322315" w:rsidP="00322315">
      <w:pPr>
        <w:spacing w:after="0"/>
        <w:jc w:val="center"/>
        <w:rPr>
          <w:rFonts w:asciiTheme="minorHAnsi" w:hAnsiTheme="minorHAnsi" w:cstheme="minorHAnsi"/>
          <w:b/>
          <w:bCs/>
          <w:szCs w:val="24"/>
          <w:lang w:val="lt-LT"/>
        </w:rPr>
      </w:pPr>
      <w:r w:rsidRPr="0056752C">
        <w:rPr>
          <w:rFonts w:asciiTheme="minorHAnsi" w:hAnsiTheme="minorHAnsi" w:cstheme="minorHAnsi"/>
          <w:b/>
          <w:bCs/>
          <w:szCs w:val="24"/>
          <w:lang w:val="lt-LT"/>
        </w:rPr>
        <w:t>Techninė specifikacija</w:t>
      </w:r>
    </w:p>
    <w:p w14:paraId="7566E6E1" w14:textId="77777777" w:rsidR="00322315" w:rsidRPr="0056752C" w:rsidRDefault="00322315" w:rsidP="00322315">
      <w:pPr>
        <w:spacing w:after="120"/>
        <w:rPr>
          <w:rFonts w:asciiTheme="minorHAnsi" w:hAnsiTheme="minorHAnsi" w:cstheme="minorHAnsi"/>
          <w:i/>
          <w:color w:val="FF0000"/>
          <w:sz w:val="20"/>
          <w:szCs w:val="20"/>
          <w:lang w:val="lt-LT"/>
        </w:rPr>
      </w:pPr>
    </w:p>
    <w:p w14:paraId="07B42952" w14:textId="77777777" w:rsidR="00322315" w:rsidRPr="0056752C" w:rsidRDefault="00322315" w:rsidP="00322315">
      <w:pPr>
        <w:spacing w:after="120"/>
        <w:rPr>
          <w:rFonts w:asciiTheme="minorHAnsi" w:hAnsiTheme="minorHAnsi" w:cstheme="minorHAnsi"/>
          <w:b/>
          <w:bCs/>
          <w:color w:val="000000" w:themeColor="text1"/>
          <w:sz w:val="20"/>
          <w:szCs w:val="20"/>
          <w:lang w:val="lt-LT"/>
        </w:rPr>
      </w:pPr>
      <w:r w:rsidRPr="0056752C">
        <w:rPr>
          <w:rFonts w:asciiTheme="minorHAnsi" w:hAnsiTheme="minorHAnsi" w:cstheme="minorHAnsi"/>
          <w:b/>
          <w:bCs/>
          <w:color w:val="000000" w:themeColor="text1"/>
          <w:sz w:val="20"/>
          <w:szCs w:val="20"/>
          <w:lang w:val="lt-LT"/>
        </w:rPr>
        <w:t>1 lentelė. Hiperkonverguotos infrastruktūros telkinio sprendimas – 1 komplektas</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786"/>
        <w:gridCol w:w="6647"/>
        <w:gridCol w:w="4286"/>
      </w:tblGrid>
      <w:tr w:rsidR="00322315" w:rsidRPr="0056752C" w14:paraId="66E634AF" w14:textId="77777777" w:rsidTr="006D50DF">
        <w:trPr>
          <w:trHeight w:val="510"/>
        </w:trPr>
        <w:tc>
          <w:tcPr>
            <w:tcW w:w="362" w:type="pct"/>
            <w:vAlign w:val="center"/>
            <w:hideMark/>
          </w:tcPr>
          <w:p w14:paraId="25A1F1B4" w14:textId="77777777" w:rsidR="00322315" w:rsidRPr="0056752C" w:rsidRDefault="00322315" w:rsidP="006D50DF">
            <w:pPr>
              <w:spacing w:after="120" w:line="240" w:lineRule="auto"/>
              <w:ind w:right="179"/>
              <w:rPr>
                <w:rFonts w:asciiTheme="minorHAnsi" w:hAnsiTheme="minorHAnsi" w:cstheme="minorHAnsi"/>
                <w:b/>
                <w:sz w:val="20"/>
                <w:szCs w:val="20"/>
                <w:lang w:val="lt-LT"/>
              </w:rPr>
            </w:pPr>
            <w:r w:rsidRPr="0056752C">
              <w:rPr>
                <w:rFonts w:asciiTheme="minorHAnsi" w:hAnsiTheme="minorHAnsi" w:cstheme="minorHAnsi"/>
                <w:b/>
                <w:sz w:val="20"/>
                <w:szCs w:val="20"/>
                <w:lang w:val="lt-LT"/>
              </w:rPr>
              <w:t>Eil.</w:t>
            </w:r>
            <w:r w:rsidRPr="0056752C">
              <w:rPr>
                <w:rFonts w:asciiTheme="minorHAnsi" w:hAnsiTheme="minorHAnsi" w:cstheme="minorHAnsi"/>
                <w:b/>
                <w:sz w:val="20"/>
                <w:szCs w:val="20"/>
                <w:lang w:val="lt-LT"/>
              </w:rPr>
              <w:br/>
              <w:t>Nr.</w:t>
            </w:r>
          </w:p>
        </w:tc>
        <w:tc>
          <w:tcPr>
            <w:tcW w:w="942" w:type="pct"/>
            <w:vAlign w:val="center"/>
            <w:hideMark/>
          </w:tcPr>
          <w:p w14:paraId="50C241BC" w14:textId="77777777" w:rsidR="00322315" w:rsidRPr="0056752C" w:rsidRDefault="00322315" w:rsidP="006D50DF">
            <w:pPr>
              <w:spacing w:after="120" w:line="240" w:lineRule="auto"/>
              <w:jc w:val="center"/>
              <w:rPr>
                <w:rFonts w:asciiTheme="minorHAnsi" w:hAnsiTheme="minorHAnsi" w:cstheme="minorHAnsi"/>
                <w:b/>
                <w:sz w:val="20"/>
                <w:szCs w:val="20"/>
                <w:lang w:val="lt-LT"/>
              </w:rPr>
            </w:pPr>
            <w:r w:rsidRPr="0056752C">
              <w:rPr>
                <w:rFonts w:asciiTheme="minorHAnsi" w:hAnsiTheme="minorHAnsi" w:cstheme="minorHAnsi"/>
                <w:b/>
                <w:sz w:val="20"/>
                <w:szCs w:val="20"/>
                <w:lang w:val="lt-LT"/>
              </w:rPr>
              <w:t>Charakteristikos pavadinimas</w:t>
            </w:r>
          </w:p>
        </w:tc>
        <w:tc>
          <w:tcPr>
            <w:tcW w:w="2247" w:type="pct"/>
            <w:vAlign w:val="center"/>
            <w:hideMark/>
          </w:tcPr>
          <w:p w14:paraId="47609DBE" w14:textId="77777777" w:rsidR="00322315" w:rsidRPr="0056752C" w:rsidRDefault="00322315" w:rsidP="006D50DF">
            <w:pPr>
              <w:spacing w:after="0"/>
              <w:ind w:right="-77"/>
              <w:jc w:val="center"/>
              <w:rPr>
                <w:rFonts w:asciiTheme="minorHAnsi" w:hAnsiTheme="minorHAnsi" w:cstheme="minorHAnsi"/>
                <w:b/>
                <w:sz w:val="20"/>
                <w:szCs w:val="20"/>
                <w:lang w:val="lt-LT"/>
              </w:rPr>
            </w:pPr>
            <w:r w:rsidRPr="0056752C">
              <w:rPr>
                <w:rFonts w:asciiTheme="minorHAnsi" w:hAnsiTheme="minorHAnsi" w:cstheme="minorHAnsi"/>
                <w:b/>
                <w:sz w:val="20"/>
                <w:szCs w:val="20"/>
                <w:lang w:val="lt-LT"/>
              </w:rPr>
              <w:t xml:space="preserve">Reikalaujama charakteristika </w:t>
            </w:r>
          </w:p>
          <w:p w14:paraId="609050B2" w14:textId="1C0DDACF" w:rsidR="00322315" w:rsidRPr="0056752C" w:rsidRDefault="00322315" w:rsidP="006D50DF">
            <w:pPr>
              <w:spacing w:after="120" w:line="240" w:lineRule="auto"/>
              <w:jc w:val="center"/>
              <w:rPr>
                <w:rFonts w:asciiTheme="minorHAnsi" w:hAnsiTheme="minorHAnsi" w:cstheme="minorHAnsi"/>
                <w:b/>
                <w:sz w:val="20"/>
                <w:szCs w:val="20"/>
                <w:lang w:val="lt-LT"/>
              </w:rPr>
            </w:pPr>
            <w:r w:rsidRPr="0056752C">
              <w:rPr>
                <w:rFonts w:asciiTheme="minorHAnsi" w:hAnsiTheme="minorHAnsi" w:cstheme="minorHAnsi"/>
                <w:b/>
                <w:sz w:val="20"/>
                <w:szCs w:val="20"/>
                <w:lang w:val="lt-LT"/>
              </w:rPr>
              <w:t>(ne blog</w:t>
            </w:r>
            <w:r w:rsidR="005B6E47" w:rsidRPr="0056752C">
              <w:rPr>
                <w:rFonts w:asciiTheme="minorHAnsi" w:hAnsiTheme="minorHAnsi" w:cstheme="minorHAnsi"/>
                <w:b/>
                <w:sz w:val="20"/>
                <w:szCs w:val="20"/>
                <w:lang w:val="lt-LT"/>
              </w:rPr>
              <w:t>esnė</w:t>
            </w:r>
            <w:r w:rsidRPr="0056752C">
              <w:rPr>
                <w:rFonts w:asciiTheme="minorHAnsi" w:hAnsiTheme="minorHAnsi" w:cstheme="minorHAnsi"/>
                <w:b/>
                <w:sz w:val="20"/>
                <w:szCs w:val="20"/>
                <w:lang w:val="lt-LT"/>
              </w:rPr>
              <w:t xml:space="preserve"> kaip)</w:t>
            </w:r>
          </w:p>
        </w:tc>
        <w:tc>
          <w:tcPr>
            <w:tcW w:w="1449" w:type="pct"/>
            <w:vAlign w:val="center"/>
          </w:tcPr>
          <w:p w14:paraId="6177DA7F" w14:textId="77777777" w:rsidR="005B6E47" w:rsidRPr="0056752C" w:rsidRDefault="005B6E47" w:rsidP="005B6E47">
            <w:pPr>
              <w:rPr>
                <w:rFonts w:asciiTheme="minorHAnsi" w:eastAsia="SimSun" w:hAnsiTheme="minorHAnsi" w:cstheme="minorHAnsi"/>
                <w:noProof/>
                <w:sz w:val="20"/>
                <w:szCs w:val="20"/>
                <w:lang w:eastAsia="lt-LT"/>
              </w:rPr>
            </w:pPr>
            <w:r w:rsidRPr="0056752C">
              <w:rPr>
                <w:rFonts w:asciiTheme="minorHAnsi" w:eastAsia="SimSun" w:hAnsiTheme="minorHAnsi" w:cstheme="minorHAnsi"/>
                <w:noProof/>
                <w:sz w:val="20"/>
                <w:szCs w:val="20"/>
                <w:lang w:eastAsia="lt-LT"/>
              </w:rPr>
              <w:t>Siūlomų paslaugų techninės charakteristikos (</w:t>
            </w:r>
            <w:r w:rsidRPr="0056752C">
              <w:rPr>
                <w:rFonts w:asciiTheme="minorHAnsi" w:eastAsia="SimSun" w:hAnsiTheme="minorHAnsi" w:cstheme="minorHAnsi"/>
                <w:b/>
                <w:bCs/>
                <w:noProof/>
                <w:sz w:val="20"/>
                <w:szCs w:val="20"/>
                <w:lang w:eastAsia="lt-LT"/>
              </w:rPr>
              <w:t>pildo tiekėjas</w:t>
            </w:r>
            <w:r w:rsidRPr="0056752C">
              <w:rPr>
                <w:rFonts w:asciiTheme="minorHAnsi" w:eastAsia="SimSun" w:hAnsiTheme="minorHAnsi" w:cstheme="minorHAnsi"/>
                <w:noProof/>
                <w:sz w:val="20"/>
                <w:szCs w:val="20"/>
                <w:lang w:eastAsia="lt-LT"/>
              </w:rPr>
              <w:t>)</w:t>
            </w:r>
          </w:p>
          <w:p w14:paraId="4E06238F" w14:textId="77777777" w:rsidR="005B6E47" w:rsidRPr="0056752C" w:rsidRDefault="005B6E47" w:rsidP="005B6E47">
            <w:pPr>
              <w:rPr>
                <w:rFonts w:asciiTheme="minorHAnsi" w:eastAsia="Calibri" w:hAnsiTheme="minorHAnsi" w:cstheme="minorHAnsi"/>
                <w:b/>
                <w:color w:val="002060"/>
                <w:sz w:val="20"/>
                <w:szCs w:val="20"/>
                <w:lang w:eastAsia="lt-LT"/>
              </w:rPr>
            </w:pPr>
            <w:r w:rsidRPr="0056752C">
              <w:rPr>
                <w:rFonts w:asciiTheme="minorHAnsi" w:eastAsia="SimSun" w:hAnsiTheme="minorHAnsi" w:cstheme="minorHAnsi"/>
                <w:noProof/>
                <w:sz w:val="20"/>
                <w:szCs w:val="20"/>
                <w:lang w:eastAsia="lt-LT"/>
              </w:rPr>
              <w:t>Siūloma reikalavimo atitikimo reikšmė</w:t>
            </w:r>
            <w:r w:rsidRPr="0056752C">
              <w:rPr>
                <w:rFonts w:asciiTheme="minorHAnsi" w:eastAsia="SimSun" w:hAnsiTheme="minorHAnsi" w:cstheme="minorHAnsi"/>
                <w:b/>
                <w:bCs/>
                <w:noProof/>
                <w:sz w:val="20"/>
                <w:szCs w:val="20"/>
                <w:lang w:eastAsia="lt-LT"/>
              </w:rPr>
              <w:t xml:space="preserve"> (</w:t>
            </w:r>
            <w:proofErr w:type="spellStart"/>
            <w:r w:rsidRPr="0056752C">
              <w:rPr>
                <w:rFonts w:asciiTheme="minorHAnsi" w:eastAsia="Calibri" w:hAnsiTheme="minorHAnsi" w:cstheme="minorHAnsi"/>
                <w:b/>
                <w:color w:val="002060"/>
                <w:sz w:val="20"/>
                <w:szCs w:val="20"/>
                <w:lang w:eastAsia="lt-LT"/>
              </w:rPr>
              <w:t>nurodyti</w:t>
            </w:r>
            <w:proofErr w:type="spellEnd"/>
            <w:r w:rsidRPr="0056752C">
              <w:rPr>
                <w:rFonts w:asciiTheme="minorHAnsi" w:eastAsia="Calibri" w:hAnsiTheme="minorHAnsi" w:cstheme="minorHAnsi"/>
                <w:b/>
                <w:color w:val="002060"/>
                <w:sz w:val="20"/>
                <w:szCs w:val="20"/>
                <w:lang w:eastAsia="lt-LT"/>
              </w:rPr>
              <w:t xml:space="preserve"> </w:t>
            </w:r>
            <w:proofErr w:type="spellStart"/>
            <w:r w:rsidRPr="0056752C">
              <w:rPr>
                <w:rFonts w:asciiTheme="minorHAnsi" w:eastAsia="Calibri" w:hAnsiTheme="minorHAnsi" w:cstheme="minorHAnsi"/>
                <w:b/>
                <w:color w:val="002060"/>
                <w:sz w:val="20"/>
                <w:szCs w:val="20"/>
                <w:lang w:eastAsia="lt-LT"/>
              </w:rPr>
              <w:t>dokumento</w:t>
            </w:r>
            <w:proofErr w:type="spellEnd"/>
            <w:r w:rsidRPr="0056752C">
              <w:rPr>
                <w:rFonts w:asciiTheme="minorHAnsi" w:eastAsia="Calibri" w:hAnsiTheme="minorHAnsi" w:cstheme="minorHAnsi"/>
                <w:b/>
                <w:color w:val="002060"/>
                <w:sz w:val="20"/>
                <w:szCs w:val="20"/>
                <w:lang w:eastAsia="lt-LT"/>
              </w:rPr>
              <w:t xml:space="preserve"> </w:t>
            </w:r>
            <w:proofErr w:type="spellStart"/>
            <w:r w:rsidRPr="0056752C">
              <w:rPr>
                <w:rFonts w:asciiTheme="minorHAnsi" w:eastAsia="Calibri" w:hAnsiTheme="minorHAnsi" w:cstheme="minorHAnsi"/>
                <w:b/>
                <w:color w:val="002060"/>
                <w:sz w:val="20"/>
                <w:szCs w:val="20"/>
                <w:lang w:eastAsia="lt-LT"/>
              </w:rPr>
              <w:t>pavadinimą</w:t>
            </w:r>
            <w:proofErr w:type="spellEnd"/>
            <w:r w:rsidRPr="0056752C">
              <w:rPr>
                <w:rFonts w:asciiTheme="minorHAnsi" w:eastAsia="Calibri" w:hAnsiTheme="minorHAnsi" w:cstheme="minorHAnsi"/>
                <w:b/>
                <w:color w:val="002060"/>
                <w:sz w:val="20"/>
                <w:szCs w:val="20"/>
                <w:lang w:eastAsia="lt-LT"/>
              </w:rPr>
              <w:t xml:space="preserve">, </w:t>
            </w:r>
            <w:proofErr w:type="spellStart"/>
            <w:r w:rsidRPr="0056752C">
              <w:rPr>
                <w:rFonts w:asciiTheme="minorHAnsi" w:eastAsia="Calibri" w:hAnsiTheme="minorHAnsi" w:cstheme="minorHAnsi"/>
                <w:b/>
                <w:color w:val="002060"/>
                <w:sz w:val="20"/>
                <w:szCs w:val="20"/>
                <w:lang w:eastAsia="lt-LT"/>
              </w:rPr>
              <w:t>puslapio</w:t>
            </w:r>
            <w:proofErr w:type="spellEnd"/>
            <w:r w:rsidRPr="0056752C">
              <w:rPr>
                <w:rFonts w:asciiTheme="minorHAnsi" w:eastAsia="Calibri" w:hAnsiTheme="minorHAnsi" w:cstheme="minorHAnsi"/>
                <w:b/>
                <w:color w:val="002060"/>
                <w:sz w:val="20"/>
                <w:szCs w:val="20"/>
                <w:lang w:eastAsia="lt-LT"/>
              </w:rPr>
              <w:t xml:space="preserve"> </w:t>
            </w:r>
            <w:proofErr w:type="spellStart"/>
            <w:proofErr w:type="gramStart"/>
            <w:r w:rsidRPr="0056752C">
              <w:rPr>
                <w:rFonts w:asciiTheme="minorHAnsi" w:eastAsia="Calibri" w:hAnsiTheme="minorHAnsi" w:cstheme="minorHAnsi"/>
                <w:b/>
                <w:color w:val="002060"/>
                <w:sz w:val="20"/>
                <w:szCs w:val="20"/>
                <w:lang w:eastAsia="lt-LT"/>
              </w:rPr>
              <w:t>numerį</w:t>
            </w:r>
            <w:proofErr w:type="spellEnd"/>
            <w:r w:rsidRPr="0056752C">
              <w:rPr>
                <w:rFonts w:asciiTheme="minorHAnsi" w:eastAsia="Calibri" w:hAnsiTheme="minorHAnsi" w:cstheme="minorHAnsi"/>
                <w:b/>
                <w:color w:val="002060"/>
                <w:sz w:val="20"/>
                <w:szCs w:val="20"/>
                <w:lang w:eastAsia="lt-LT"/>
              </w:rPr>
              <w:t xml:space="preserve">  </w:t>
            </w:r>
            <w:proofErr w:type="spellStart"/>
            <w:r w:rsidRPr="0056752C">
              <w:rPr>
                <w:rFonts w:asciiTheme="minorHAnsi" w:eastAsia="Calibri" w:hAnsiTheme="minorHAnsi" w:cstheme="minorHAnsi"/>
                <w:b/>
                <w:color w:val="002060"/>
                <w:sz w:val="20"/>
                <w:szCs w:val="20"/>
                <w:lang w:eastAsia="lt-LT"/>
              </w:rPr>
              <w:t>paslaugos</w:t>
            </w:r>
            <w:proofErr w:type="spellEnd"/>
            <w:proofErr w:type="gramEnd"/>
            <w:r w:rsidRPr="0056752C">
              <w:rPr>
                <w:rFonts w:asciiTheme="minorHAnsi" w:eastAsia="Calibri" w:hAnsiTheme="minorHAnsi" w:cstheme="minorHAnsi"/>
                <w:b/>
                <w:color w:val="002060"/>
                <w:sz w:val="20"/>
                <w:szCs w:val="20"/>
                <w:lang w:eastAsia="lt-LT"/>
              </w:rPr>
              <w:t xml:space="preserve"> </w:t>
            </w:r>
            <w:proofErr w:type="spellStart"/>
            <w:r w:rsidRPr="0056752C">
              <w:rPr>
                <w:rFonts w:asciiTheme="minorHAnsi" w:eastAsia="Calibri" w:hAnsiTheme="minorHAnsi" w:cstheme="minorHAnsi"/>
                <w:b/>
                <w:color w:val="002060"/>
                <w:sz w:val="20"/>
                <w:szCs w:val="20"/>
                <w:lang w:eastAsia="lt-LT"/>
              </w:rPr>
              <w:t>atitikimo</w:t>
            </w:r>
            <w:proofErr w:type="spellEnd"/>
            <w:r w:rsidRPr="0056752C">
              <w:rPr>
                <w:rFonts w:asciiTheme="minorHAnsi" w:eastAsia="Calibri" w:hAnsiTheme="minorHAnsi" w:cstheme="minorHAnsi"/>
                <w:b/>
                <w:color w:val="002060"/>
                <w:sz w:val="20"/>
                <w:szCs w:val="20"/>
                <w:lang w:eastAsia="lt-LT"/>
              </w:rPr>
              <w:t xml:space="preserve"> </w:t>
            </w:r>
            <w:proofErr w:type="spellStart"/>
            <w:r w:rsidRPr="0056752C">
              <w:rPr>
                <w:rFonts w:asciiTheme="minorHAnsi" w:eastAsia="Calibri" w:hAnsiTheme="minorHAnsi" w:cstheme="minorHAnsi"/>
                <w:b/>
                <w:color w:val="002060"/>
                <w:sz w:val="20"/>
                <w:szCs w:val="20"/>
                <w:lang w:eastAsia="lt-LT"/>
              </w:rPr>
              <w:t>pagrindimui</w:t>
            </w:r>
            <w:proofErr w:type="spellEnd"/>
            <w:r w:rsidRPr="0056752C">
              <w:rPr>
                <w:rFonts w:asciiTheme="minorHAnsi" w:eastAsia="Calibri" w:hAnsiTheme="minorHAnsi" w:cstheme="minorHAnsi"/>
                <w:b/>
                <w:color w:val="002060"/>
                <w:sz w:val="20"/>
                <w:szCs w:val="20"/>
                <w:lang w:eastAsia="lt-LT"/>
              </w:rPr>
              <w:t xml:space="preserve">). </w:t>
            </w:r>
          </w:p>
          <w:p w14:paraId="5C8F1497" w14:textId="77777777" w:rsidR="005B6E47" w:rsidRPr="0056752C" w:rsidRDefault="005B6E47" w:rsidP="005B6E47">
            <w:pPr>
              <w:rPr>
                <w:rFonts w:asciiTheme="minorHAnsi" w:eastAsia="Calibri" w:hAnsiTheme="minorHAnsi" w:cstheme="minorHAnsi"/>
                <w:b/>
                <w:sz w:val="20"/>
                <w:szCs w:val="20"/>
                <w:lang w:eastAsia="lt-LT"/>
              </w:rPr>
            </w:pPr>
            <w:proofErr w:type="spellStart"/>
            <w:r w:rsidRPr="0056752C">
              <w:rPr>
                <w:rFonts w:asciiTheme="minorHAnsi" w:eastAsia="Calibri" w:hAnsiTheme="minorHAnsi" w:cstheme="minorHAnsi"/>
                <w:b/>
                <w:sz w:val="20"/>
                <w:szCs w:val="20"/>
                <w:lang w:eastAsia="lt-LT"/>
              </w:rPr>
              <w:t>Privaloma</w:t>
            </w:r>
            <w:proofErr w:type="spell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išsamiai</w:t>
            </w:r>
            <w:proofErr w:type="spell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aprašyti</w:t>
            </w:r>
            <w:proofErr w:type="spell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siūlomą</w:t>
            </w:r>
            <w:proofErr w:type="spell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reikalavimo</w:t>
            </w:r>
            <w:proofErr w:type="spell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atitikimą</w:t>
            </w:r>
            <w:proofErr w:type="spellEnd"/>
            <w:r w:rsidRPr="0056752C">
              <w:rPr>
                <w:rFonts w:asciiTheme="minorHAnsi" w:eastAsia="Calibri" w:hAnsiTheme="minorHAnsi" w:cstheme="minorHAnsi"/>
                <w:b/>
                <w:sz w:val="20"/>
                <w:szCs w:val="20"/>
                <w:lang w:eastAsia="lt-LT"/>
              </w:rPr>
              <w:t>.</w:t>
            </w:r>
          </w:p>
          <w:p w14:paraId="1B74B23B" w14:textId="7815D76B" w:rsidR="00322315" w:rsidRPr="0056752C" w:rsidRDefault="005B6E47" w:rsidP="005B6E47">
            <w:pPr>
              <w:spacing w:after="120" w:line="240" w:lineRule="auto"/>
              <w:rPr>
                <w:rFonts w:asciiTheme="minorHAnsi" w:hAnsiTheme="minorHAnsi" w:cstheme="minorHAnsi"/>
                <w:b/>
                <w:sz w:val="20"/>
                <w:szCs w:val="20"/>
                <w:lang w:val="lt-LT"/>
              </w:rPr>
            </w:pPr>
            <w:proofErr w:type="spellStart"/>
            <w:r w:rsidRPr="0056752C">
              <w:rPr>
                <w:rFonts w:asciiTheme="minorHAnsi" w:eastAsia="Calibri" w:hAnsiTheme="minorHAnsi" w:cstheme="minorHAnsi"/>
                <w:b/>
                <w:sz w:val="20"/>
                <w:szCs w:val="20"/>
                <w:lang w:eastAsia="lt-LT"/>
              </w:rPr>
              <w:t>Pasiūlymai</w:t>
            </w:r>
            <w:proofErr w:type="spell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kuriuose</w:t>
            </w:r>
            <w:proofErr w:type="spellEnd"/>
            <w:r w:rsidRPr="0056752C">
              <w:rPr>
                <w:rFonts w:asciiTheme="minorHAnsi" w:eastAsia="Calibri" w:hAnsiTheme="minorHAnsi" w:cstheme="minorHAnsi"/>
                <w:b/>
                <w:sz w:val="20"/>
                <w:szCs w:val="20"/>
                <w:lang w:eastAsia="lt-LT"/>
              </w:rPr>
              <w:t xml:space="preserve"> bus </w:t>
            </w:r>
            <w:proofErr w:type="spellStart"/>
            <w:r w:rsidRPr="0056752C">
              <w:rPr>
                <w:rFonts w:asciiTheme="minorHAnsi" w:eastAsia="Calibri" w:hAnsiTheme="minorHAnsi" w:cstheme="minorHAnsi"/>
                <w:b/>
                <w:sz w:val="20"/>
                <w:szCs w:val="20"/>
                <w:lang w:eastAsia="lt-LT"/>
              </w:rPr>
              <w:t>įrašyta</w:t>
            </w:r>
            <w:proofErr w:type="spellEnd"/>
            <w:r w:rsidRPr="0056752C">
              <w:rPr>
                <w:rFonts w:asciiTheme="minorHAnsi" w:eastAsia="Calibri" w:hAnsiTheme="minorHAnsi" w:cstheme="minorHAnsi"/>
                <w:b/>
                <w:sz w:val="20"/>
                <w:szCs w:val="20"/>
                <w:lang w:eastAsia="lt-LT"/>
              </w:rPr>
              <w:t xml:space="preserve"> „Taip/</w:t>
            </w:r>
            <w:proofErr w:type="gramStart"/>
            <w:r w:rsidRPr="0056752C">
              <w:rPr>
                <w:rFonts w:asciiTheme="minorHAnsi" w:eastAsia="Calibri" w:hAnsiTheme="minorHAnsi" w:cstheme="minorHAnsi"/>
                <w:b/>
                <w:sz w:val="20"/>
                <w:szCs w:val="20"/>
                <w:lang w:eastAsia="lt-LT"/>
              </w:rPr>
              <w:t xml:space="preserve">Ne“ </w:t>
            </w:r>
            <w:proofErr w:type="spellStart"/>
            <w:r w:rsidRPr="0056752C">
              <w:rPr>
                <w:rFonts w:asciiTheme="minorHAnsi" w:eastAsia="Calibri" w:hAnsiTheme="minorHAnsi" w:cstheme="minorHAnsi"/>
                <w:b/>
                <w:sz w:val="20"/>
                <w:szCs w:val="20"/>
                <w:lang w:eastAsia="lt-LT"/>
              </w:rPr>
              <w:t>arba</w:t>
            </w:r>
            <w:proofErr w:type="spellEnd"/>
            <w:proofErr w:type="gramEnd"/>
            <w:r w:rsidRPr="0056752C">
              <w:rPr>
                <w:rFonts w:asciiTheme="minorHAnsi" w:eastAsia="Calibri" w:hAnsiTheme="minorHAnsi" w:cstheme="minorHAnsi"/>
                <w:b/>
                <w:sz w:val="20"/>
                <w:szCs w:val="20"/>
                <w:lang w:eastAsia="lt-LT"/>
              </w:rPr>
              <w:t xml:space="preserve"> „</w:t>
            </w:r>
            <w:proofErr w:type="spellStart"/>
            <w:proofErr w:type="gramStart"/>
            <w:r w:rsidRPr="0056752C">
              <w:rPr>
                <w:rFonts w:asciiTheme="minorHAnsi" w:eastAsia="Calibri" w:hAnsiTheme="minorHAnsi" w:cstheme="minorHAnsi"/>
                <w:b/>
                <w:sz w:val="20"/>
                <w:szCs w:val="20"/>
                <w:lang w:eastAsia="lt-LT"/>
              </w:rPr>
              <w:t>Atitinka</w:t>
            </w:r>
            <w:proofErr w:type="spellEnd"/>
            <w:r w:rsidRPr="0056752C">
              <w:rPr>
                <w:rFonts w:asciiTheme="minorHAnsi" w:eastAsia="Calibri" w:hAnsiTheme="minorHAnsi" w:cstheme="minorHAnsi"/>
                <w:b/>
                <w:sz w:val="20"/>
                <w:szCs w:val="20"/>
                <w:lang w:eastAsia="lt-LT"/>
              </w:rPr>
              <w:t>“ bus</w:t>
            </w:r>
            <w:proofErr w:type="gram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atmesti</w:t>
            </w:r>
            <w:proofErr w:type="spellEnd"/>
            <w:r w:rsidRPr="0056752C">
              <w:rPr>
                <w:rFonts w:asciiTheme="minorHAnsi" w:eastAsia="Calibri" w:hAnsiTheme="minorHAnsi" w:cstheme="minorHAnsi"/>
                <w:b/>
                <w:sz w:val="20"/>
                <w:szCs w:val="20"/>
                <w:lang w:eastAsia="lt-LT"/>
              </w:rPr>
              <w:t> </w:t>
            </w:r>
            <w:proofErr w:type="spellStart"/>
            <w:r w:rsidRPr="0056752C">
              <w:rPr>
                <w:rFonts w:asciiTheme="minorHAnsi" w:eastAsia="Calibri" w:hAnsiTheme="minorHAnsi" w:cstheme="minorHAnsi"/>
                <w:b/>
                <w:sz w:val="20"/>
                <w:szCs w:val="20"/>
                <w:lang w:eastAsia="lt-LT"/>
              </w:rPr>
              <w:t>kaip</w:t>
            </w:r>
            <w:proofErr w:type="spellEnd"/>
            <w:r w:rsidRPr="0056752C">
              <w:rPr>
                <w:rFonts w:asciiTheme="minorHAnsi" w:eastAsia="Calibri" w:hAnsiTheme="minorHAnsi" w:cstheme="minorHAnsi"/>
                <w:b/>
                <w:sz w:val="20"/>
                <w:szCs w:val="20"/>
                <w:lang w:eastAsia="lt-LT"/>
              </w:rPr>
              <w:t> </w:t>
            </w:r>
            <w:proofErr w:type="spellStart"/>
            <w:r w:rsidRPr="0056752C">
              <w:rPr>
                <w:rFonts w:asciiTheme="minorHAnsi" w:eastAsia="Calibri" w:hAnsiTheme="minorHAnsi" w:cstheme="minorHAnsi"/>
                <w:b/>
                <w:sz w:val="20"/>
                <w:szCs w:val="20"/>
                <w:lang w:eastAsia="lt-LT"/>
              </w:rPr>
              <w:t>neatitinkantys</w:t>
            </w:r>
            <w:proofErr w:type="spellEnd"/>
            <w:r w:rsidRPr="0056752C">
              <w:rPr>
                <w:rFonts w:asciiTheme="minorHAnsi" w:eastAsia="Calibri" w:hAnsiTheme="minorHAnsi" w:cstheme="minorHAnsi"/>
                <w:b/>
                <w:sz w:val="20"/>
                <w:szCs w:val="20"/>
                <w:lang w:eastAsia="lt-LT"/>
              </w:rPr>
              <w:t xml:space="preserve"> </w:t>
            </w:r>
            <w:proofErr w:type="spellStart"/>
            <w:r w:rsidRPr="0056752C">
              <w:rPr>
                <w:rFonts w:asciiTheme="minorHAnsi" w:eastAsia="Calibri" w:hAnsiTheme="minorHAnsi" w:cstheme="minorHAnsi"/>
                <w:b/>
                <w:sz w:val="20"/>
                <w:szCs w:val="20"/>
                <w:lang w:eastAsia="lt-LT"/>
              </w:rPr>
              <w:t>reikalavimų</w:t>
            </w:r>
            <w:proofErr w:type="spellEnd"/>
          </w:p>
        </w:tc>
      </w:tr>
      <w:tr w:rsidR="00322315" w:rsidRPr="0056752C" w14:paraId="758143FD"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288000B5"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51A7DF2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color w:val="000000"/>
                <w:sz w:val="20"/>
                <w:szCs w:val="20"/>
                <w:lang w:val="lt-LT" w:eastAsia="lt-LT"/>
              </w:rPr>
              <w:t>Gamintojas</w:t>
            </w:r>
          </w:p>
        </w:tc>
        <w:tc>
          <w:tcPr>
            <w:tcW w:w="2247" w:type="pct"/>
            <w:tcBorders>
              <w:top w:val="single" w:sz="4" w:space="0" w:color="auto"/>
              <w:left w:val="single" w:sz="4" w:space="0" w:color="auto"/>
              <w:bottom w:val="single" w:sz="4" w:space="0" w:color="auto"/>
              <w:right w:val="single" w:sz="4" w:space="0" w:color="auto"/>
            </w:tcBorders>
          </w:tcPr>
          <w:p w14:paraId="30285B8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color w:val="000000"/>
                <w:sz w:val="20"/>
                <w:szCs w:val="20"/>
                <w:lang w:val="lt-LT" w:eastAsia="lt-LT"/>
              </w:rPr>
              <w:t>Nurodyti gamintoją.</w:t>
            </w:r>
          </w:p>
        </w:tc>
        <w:tc>
          <w:tcPr>
            <w:tcW w:w="1449" w:type="pct"/>
            <w:tcBorders>
              <w:top w:val="single" w:sz="4" w:space="0" w:color="auto"/>
              <w:left w:val="single" w:sz="4" w:space="0" w:color="auto"/>
              <w:bottom w:val="single" w:sz="4" w:space="0" w:color="auto"/>
              <w:right w:val="single" w:sz="4" w:space="0" w:color="auto"/>
            </w:tcBorders>
          </w:tcPr>
          <w:p w14:paraId="174CB9D1" w14:textId="77777777" w:rsidR="00322315" w:rsidRPr="0056752C" w:rsidRDefault="00322315" w:rsidP="006D50DF">
            <w:pPr>
              <w:spacing w:after="120" w:line="240" w:lineRule="auto"/>
              <w:rPr>
                <w:rFonts w:asciiTheme="minorHAnsi" w:hAnsiTheme="minorHAnsi" w:cstheme="minorHAnsi"/>
                <w:b/>
                <w:i/>
                <w:sz w:val="20"/>
                <w:szCs w:val="20"/>
                <w:lang w:val="lt-LT"/>
              </w:rPr>
            </w:pPr>
          </w:p>
        </w:tc>
      </w:tr>
      <w:tr w:rsidR="00322315" w:rsidRPr="003E2E59" w14:paraId="30539432"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B1A4288"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397764E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color w:val="000000"/>
                <w:sz w:val="20"/>
                <w:szCs w:val="20"/>
                <w:lang w:val="lt-LT" w:eastAsia="lt-LT"/>
              </w:rPr>
              <w:t>Produkto pavadinimas</w:t>
            </w:r>
          </w:p>
        </w:tc>
        <w:tc>
          <w:tcPr>
            <w:tcW w:w="2247" w:type="pct"/>
            <w:tcBorders>
              <w:top w:val="single" w:sz="4" w:space="0" w:color="auto"/>
              <w:left w:val="single" w:sz="4" w:space="0" w:color="auto"/>
              <w:bottom w:val="single" w:sz="4" w:space="0" w:color="auto"/>
              <w:right w:val="single" w:sz="4" w:space="0" w:color="auto"/>
            </w:tcBorders>
          </w:tcPr>
          <w:p w14:paraId="3466B162" w14:textId="77777777" w:rsidR="00322315" w:rsidRPr="0056752C" w:rsidRDefault="00322315" w:rsidP="006D50DF">
            <w:pPr>
              <w:spacing w:after="120" w:line="240" w:lineRule="auto"/>
              <w:rPr>
                <w:rFonts w:asciiTheme="minorHAnsi" w:hAnsiTheme="minorHAnsi" w:cstheme="minorHAnsi"/>
                <w:color w:val="000000"/>
                <w:sz w:val="20"/>
                <w:szCs w:val="20"/>
                <w:lang w:val="lt-LT" w:eastAsia="lt-LT"/>
              </w:rPr>
            </w:pPr>
            <w:r w:rsidRPr="0056752C">
              <w:rPr>
                <w:rFonts w:asciiTheme="minorHAnsi" w:hAnsiTheme="minorHAnsi" w:cstheme="minorHAnsi"/>
                <w:color w:val="000000"/>
                <w:sz w:val="20"/>
                <w:szCs w:val="20"/>
                <w:lang w:val="lt-LT" w:eastAsia="lt-LT"/>
              </w:rPr>
              <w:t>Visa siūloma techninė įranga, privalo būti gamintojo dedikuota hiperkonverguotos infrastruktūros telkinio formavimui bei pilnai atitinkanti gamintojo keliamus techninius bei programinius reikalavimus.</w:t>
            </w:r>
          </w:p>
          <w:p w14:paraId="62AFD0AB" w14:textId="77777777" w:rsidR="00322315" w:rsidRPr="0056752C" w:rsidRDefault="00322315" w:rsidP="006D50DF">
            <w:pPr>
              <w:spacing w:after="120" w:line="240" w:lineRule="auto"/>
              <w:rPr>
                <w:rFonts w:asciiTheme="minorHAnsi" w:hAnsiTheme="minorHAnsi" w:cstheme="minorHAnsi"/>
                <w:color w:val="000000"/>
                <w:sz w:val="20"/>
                <w:szCs w:val="20"/>
                <w:lang w:val="lt-LT" w:eastAsia="lt-LT"/>
              </w:rPr>
            </w:pPr>
            <w:r w:rsidRPr="0056752C">
              <w:rPr>
                <w:rFonts w:asciiTheme="minorHAnsi" w:hAnsiTheme="minorHAnsi" w:cstheme="minorHAnsi"/>
                <w:color w:val="000000"/>
                <w:sz w:val="20"/>
                <w:szCs w:val="20"/>
                <w:lang w:val="lt-LT" w:eastAsia="lt-LT"/>
              </w:rPr>
              <w:t>Nurodyti produkto pavadinimą, modelį ir kodą.</w:t>
            </w:r>
          </w:p>
          <w:p w14:paraId="0DE528AF" w14:textId="77777777" w:rsidR="00322315" w:rsidRPr="0056752C" w:rsidRDefault="00322315" w:rsidP="006D50DF">
            <w:pPr>
              <w:spacing w:after="120" w:line="240" w:lineRule="auto"/>
              <w:rPr>
                <w:rFonts w:asciiTheme="minorHAnsi" w:hAnsiTheme="minorHAnsi" w:cstheme="minorHAnsi"/>
                <w:b/>
                <w:bCs/>
                <w:sz w:val="20"/>
                <w:szCs w:val="20"/>
                <w:lang w:val="lt-LT"/>
              </w:rPr>
            </w:pPr>
            <w:r w:rsidRPr="0056752C">
              <w:rPr>
                <w:rFonts w:asciiTheme="minorHAnsi" w:hAnsiTheme="minorHAnsi" w:cstheme="minorHAnsi"/>
                <w:b/>
                <w:bCs/>
                <w:color w:val="000000"/>
                <w:sz w:val="20"/>
                <w:szCs w:val="20"/>
                <w:lang w:val="lt-LT" w:eastAsia="lt-LT"/>
              </w:rPr>
              <w:t>Kartu su pasiūlymu atskirame dokumente privalo būti pateiktas pilnas komplektuojamų komponentų sąrašas su gamintojo kodais, kiekiais ir pavadinimais.</w:t>
            </w:r>
          </w:p>
        </w:tc>
        <w:tc>
          <w:tcPr>
            <w:tcW w:w="1449" w:type="pct"/>
            <w:tcBorders>
              <w:top w:val="single" w:sz="4" w:space="0" w:color="auto"/>
              <w:left w:val="single" w:sz="4" w:space="0" w:color="auto"/>
              <w:bottom w:val="single" w:sz="4" w:space="0" w:color="auto"/>
              <w:right w:val="single" w:sz="4" w:space="0" w:color="auto"/>
            </w:tcBorders>
          </w:tcPr>
          <w:p w14:paraId="2B567F04" w14:textId="77777777" w:rsidR="00322315" w:rsidRPr="0056752C" w:rsidRDefault="00322315" w:rsidP="006D50DF">
            <w:pPr>
              <w:spacing w:after="120" w:line="240" w:lineRule="auto"/>
              <w:rPr>
                <w:rFonts w:asciiTheme="minorHAnsi" w:hAnsiTheme="minorHAnsi" w:cstheme="minorHAnsi"/>
                <w:bCs/>
                <w:iCs/>
                <w:sz w:val="20"/>
                <w:szCs w:val="20"/>
                <w:lang w:val="lt-LT"/>
              </w:rPr>
            </w:pPr>
          </w:p>
        </w:tc>
      </w:tr>
      <w:tr w:rsidR="00322315" w:rsidRPr="0056752C" w14:paraId="41090E1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1169108B"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06AC57D3" w14:textId="77777777" w:rsidR="00322315" w:rsidRPr="0056752C" w:rsidRDefault="00322315" w:rsidP="006D50DF">
            <w:pPr>
              <w:spacing w:after="120" w:line="240" w:lineRule="auto"/>
              <w:rPr>
                <w:rFonts w:asciiTheme="minorHAnsi" w:hAnsiTheme="minorHAnsi" w:cstheme="minorHAnsi"/>
                <w:sz w:val="20"/>
                <w:szCs w:val="20"/>
                <w:highlight w:val="yellow"/>
                <w:lang w:val="lt-LT"/>
              </w:rPr>
            </w:pPr>
            <w:r w:rsidRPr="0056752C">
              <w:rPr>
                <w:rFonts w:asciiTheme="minorHAnsi" w:hAnsiTheme="minorHAnsi" w:cstheme="minorHAnsi"/>
                <w:sz w:val="20"/>
                <w:szCs w:val="20"/>
                <w:lang w:val="lt-LT"/>
              </w:rPr>
              <w:t>Duomenų saugojimo ir apdorojimo įrangos savybės</w:t>
            </w:r>
          </w:p>
        </w:tc>
        <w:tc>
          <w:tcPr>
            <w:tcW w:w="2247" w:type="pct"/>
            <w:tcBorders>
              <w:top w:val="single" w:sz="4" w:space="0" w:color="auto"/>
              <w:left w:val="single" w:sz="4" w:space="0" w:color="auto"/>
              <w:bottom w:val="single" w:sz="4" w:space="0" w:color="auto"/>
              <w:right w:val="single" w:sz="4" w:space="0" w:color="auto"/>
            </w:tcBorders>
          </w:tcPr>
          <w:p w14:paraId="1CB1FD6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Sprendimą privalo sudaryti mazgų (angl. </w:t>
            </w:r>
            <w:r w:rsidRPr="0056752C">
              <w:rPr>
                <w:rFonts w:asciiTheme="minorHAnsi" w:hAnsiTheme="minorHAnsi" w:cstheme="minorHAnsi"/>
                <w:i/>
                <w:iCs/>
                <w:sz w:val="20"/>
                <w:szCs w:val="20"/>
                <w:lang w:val="lt-LT"/>
              </w:rPr>
              <w:t>„node“)</w:t>
            </w:r>
            <w:r w:rsidRPr="0056752C">
              <w:rPr>
                <w:rFonts w:asciiTheme="minorHAnsi" w:hAnsiTheme="minorHAnsi" w:cstheme="minorHAnsi"/>
                <w:sz w:val="20"/>
                <w:szCs w:val="20"/>
                <w:lang w:val="lt-LT"/>
              </w:rPr>
              <w:t xml:space="preserve"> telkinys (angl. </w:t>
            </w:r>
            <w:r w:rsidRPr="0056752C">
              <w:rPr>
                <w:rFonts w:asciiTheme="minorHAnsi" w:hAnsiTheme="minorHAnsi" w:cstheme="minorHAnsi"/>
                <w:i/>
                <w:iCs/>
                <w:sz w:val="20"/>
                <w:szCs w:val="20"/>
                <w:lang w:val="lt-LT"/>
              </w:rPr>
              <w:t>cluster</w:t>
            </w:r>
            <w:r w:rsidRPr="0056752C">
              <w:rPr>
                <w:rFonts w:asciiTheme="minorHAnsi" w:hAnsiTheme="minorHAnsi" w:cstheme="minorHAnsi"/>
                <w:sz w:val="20"/>
                <w:szCs w:val="20"/>
                <w:lang w:val="lt-LT"/>
              </w:rPr>
              <w:t xml:space="preserve">). Telkinį privalo sudaryti ne mažiau kaip 6 (šeši) mazgai.   </w:t>
            </w:r>
          </w:p>
          <w:p w14:paraId="7352A09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Kiekviename mazge privalo būti duomenų apdorojimo (CPU), tiek duomenų saugojimo resursai (dedikuoti diskai duomenims ir spartinančiajai atminčiai (angl. „</w:t>
            </w:r>
            <w:r w:rsidRPr="0056752C">
              <w:rPr>
                <w:rFonts w:asciiTheme="minorHAnsi" w:hAnsiTheme="minorHAnsi" w:cstheme="minorHAnsi"/>
                <w:i/>
                <w:iCs/>
                <w:sz w:val="20"/>
                <w:szCs w:val="20"/>
                <w:lang w:val="lt-LT"/>
              </w:rPr>
              <w:t>cache</w:t>
            </w:r>
            <w:r w:rsidRPr="0056752C">
              <w:rPr>
                <w:rFonts w:asciiTheme="minorHAnsi" w:hAnsiTheme="minorHAnsi" w:cstheme="minorHAnsi"/>
                <w:sz w:val="20"/>
                <w:szCs w:val="20"/>
                <w:lang w:val="lt-LT"/>
              </w:rPr>
              <w:t xml:space="preserve">“)), maitinimo šaltiniai, operatyvinė atmintis (RAM), tinklo jungtys. </w:t>
            </w:r>
          </w:p>
          <w:p w14:paraId="43E7DB0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lastRenderedPageBreak/>
              <w:t xml:space="preserve">Visi telkinį sudarantys mazgai privalo būti identiški. </w:t>
            </w:r>
          </w:p>
          <w:p w14:paraId="30CBA16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Suformuoto telkinio darbas neturi sutrikti sustojus ar sugedus bet kuriam iš mazgų ar bet kuriam mazgo komponentui. </w:t>
            </w:r>
          </w:p>
          <w:p w14:paraId="0EFB7C75" w14:textId="77777777" w:rsidR="00322315" w:rsidRPr="0056752C" w:rsidRDefault="00322315" w:rsidP="006D50DF">
            <w:pPr>
              <w:spacing w:after="120" w:line="240" w:lineRule="auto"/>
              <w:rPr>
                <w:rFonts w:asciiTheme="minorHAnsi" w:hAnsiTheme="minorHAnsi" w:cstheme="minorHAnsi"/>
                <w:color w:val="000000" w:themeColor="text1"/>
                <w:sz w:val="20"/>
                <w:szCs w:val="20"/>
                <w:lang w:val="lt-LT"/>
              </w:rPr>
            </w:pPr>
            <w:r w:rsidRPr="0056752C">
              <w:rPr>
                <w:rFonts w:asciiTheme="minorHAnsi" w:hAnsiTheme="minorHAnsi" w:cstheme="minorHAnsi"/>
                <w:sz w:val="20"/>
                <w:szCs w:val="20"/>
                <w:lang w:val="lt-LT"/>
              </w:rPr>
              <w:t xml:space="preserve">Telkinys privalo </w:t>
            </w:r>
            <w:r w:rsidRPr="0056752C">
              <w:rPr>
                <w:rFonts w:asciiTheme="minorHAnsi" w:hAnsiTheme="minorHAnsi" w:cstheme="minorHAnsi"/>
                <w:color w:val="000000" w:themeColor="text1"/>
                <w:sz w:val="20"/>
                <w:szCs w:val="20"/>
                <w:lang w:val="lt-LT"/>
              </w:rPr>
              <w:t xml:space="preserve">būti plečiamas pridedant tokius pat arba skirtingos konfigūracijos mazgus. Privalo būti galimybė ateityje pridėti mazgus be duomenų saugyklos posistemės (angl. „diskless“). </w:t>
            </w:r>
          </w:p>
          <w:p w14:paraId="60E24308" w14:textId="77777777" w:rsidR="00322315" w:rsidRPr="0056752C" w:rsidRDefault="00322315" w:rsidP="006D50DF">
            <w:pPr>
              <w:spacing w:after="120" w:line="240" w:lineRule="auto"/>
              <w:rPr>
                <w:rFonts w:asciiTheme="minorHAnsi" w:hAnsiTheme="minorHAnsi" w:cstheme="minorHAnsi"/>
                <w:color w:val="000000" w:themeColor="text1"/>
                <w:sz w:val="20"/>
                <w:szCs w:val="20"/>
                <w:lang w:val="lt-LT"/>
              </w:rPr>
            </w:pPr>
            <w:r w:rsidRPr="0056752C">
              <w:rPr>
                <w:rFonts w:asciiTheme="minorHAnsi" w:hAnsiTheme="minorHAnsi" w:cstheme="minorHAnsi"/>
                <w:color w:val="000000" w:themeColor="text1"/>
                <w:sz w:val="20"/>
                <w:szCs w:val="20"/>
                <w:lang w:val="lt-LT"/>
              </w:rPr>
              <w:t>Privalo būti galimybė ateityje pridėti vieną mazgą nutolusiame (angl. „edge“) duomenų centre, kuris veiktų bei būtų valdomas kaip sudedamoji HCI telkinio dalis, turėtų telkinio savybes, turėtų RAID kontrolerį apsaugantį duomenų saugyklos posistemę ir būtų centralizuotai valdomas bei atnaujinamas.  </w:t>
            </w:r>
          </w:p>
          <w:p w14:paraId="6332826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Plėtimai bei telkinio programinės įrangos naujinimai privalo būti vykdomi nestabdant telkinio darbo.</w:t>
            </w:r>
          </w:p>
        </w:tc>
        <w:tc>
          <w:tcPr>
            <w:tcW w:w="1449" w:type="pct"/>
            <w:tcBorders>
              <w:top w:val="single" w:sz="4" w:space="0" w:color="auto"/>
              <w:left w:val="single" w:sz="4" w:space="0" w:color="auto"/>
              <w:bottom w:val="single" w:sz="4" w:space="0" w:color="auto"/>
              <w:right w:val="single" w:sz="4" w:space="0" w:color="auto"/>
            </w:tcBorders>
          </w:tcPr>
          <w:p w14:paraId="23C1132B" w14:textId="77777777" w:rsidR="00322315" w:rsidRPr="0056752C" w:rsidRDefault="00322315" w:rsidP="006D50DF">
            <w:pPr>
              <w:spacing w:after="120" w:line="240" w:lineRule="auto"/>
              <w:rPr>
                <w:rFonts w:asciiTheme="minorHAnsi" w:hAnsiTheme="minorHAnsi" w:cstheme="minorHAnsi"/>
                <w:bCs/>
                <w:iCs/>
                <w:sz w:val="20"/>
                <w:szCs w:val="20"/>
                <w:lang w:val="lt-LT"/>
              </w:rPr>
            </w:pPr>
          </w:p>
        </w:tc>
      </w:tr>
      <w:tr w:rsidR="00322315" w:rsidRPr="003E2E59" w14:paraId="6C65929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3"/>
        </w:trPr>
        <w:tc>
          <w:tcPr>
            <w:tcW w:w="362" w:type="pct"/>
            <w:tcBorders>
              <w:top w:val="single" w:sz="4" w:space="0" w:color="auto"/>
              <w:left w:val="single" w:sz="4" w:space="0" w:color="auto"/>
              <w:bottom w:val="single" w:sz="4" w:space="0" w:color="auto"/>
              <w:right w:val="single" w:sz="4" w:space="0" w:color="auto"/>
            </w:tcBorders>
            <w:noWrap/>
          </w:tcPr>
          <w:p w14:paraId="136F8944"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38F1AC8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plečiamumas</w:t>
            </w:r>
          </w:p>
        </w:tc>
        <w:tc>
          <w:tcPr>
            <w:tcW w:w="2247" w:type="pct"/>
            <w:tcBorders>
              <w:top w:val="single" w:sz="4" w:space="0" w:color="auto"/>
              <w:left w:val="single" w:sz="4" w:space="0" w:color="auto"/>
              <w:bottom w:val="single" w:sz="4" w:space="0" w:color="auto"/>
              <w:right w:val="single" w:sz="4" w:space="0" w:color="auto"/>
            </w:tcBorders>
          </w:tcPr>
          <w:p w14:paraId="2A75759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Telkinys privalo turėti galimybę būti plečiamas ne mažiau kaip du kartus („scale-out“ tipo plėtimas) pridedant papildomus mazgus, esant galimybei papildomiems mazgams būti skirtingiems bei neįtakojant veikiančio telkinio darbo. </w:t>
            </w:r>
          </w:p>
        </w:tc>
        <w:tc>
          <w:tcPr>
            <w:tcW w:w="1449" w:type="pct"/>
            <w:tcBorders>
              <w:top w:val="single" w:sz="4" w:space="0" w:color="auto"/>
              <w:left w:val="single" w:sz="4" w:space="0" w:color="auto"/>
              <w:bottom w:val="single" w:sz="4" w:space="0" w:color="auto"/>
              <w:right w:val="single" w:sz="4" w:space="0" w:color="auto"/>
            </w:tcBorders>
          </w:tcPr>
          <w:p w14:paraId="772BF511" w14:textId="77777777" w:rsidR="00322315" w:rsidRPr="0056752C" w:rsidRDefault="00322315" w:rsidP="006D50DF">
            <w:pPr>
              <w:spacing w:after="120" w:line="240" w:lineRule="auto"/>
              <w:rPr>
                <w:rFonts w:asciiTheme="minorHAnsi" w:hAnsiTheme="minorHAnsi" w:cstheme="minorHAnsi"/>
                <w:b/>
                <w:i/>
                <w:sz w:val="20"/>
                <w:szCs w:val="20"/>
                <w:lang w:val="lt-LT"/>
              </w:rPr>
            </w:pPr>
          </w:p>
        </w:tc>
      </w:tr>
      <w:tr w:rsidR="00322315" w:rsidRPr="003E2E59" w14:paraId="4E17710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0FB6CAEF"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7293FF5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patikimumas</w:t>
            </w:r>
          </w:p>
        </w:tc>
        <w:tc>
          <w:tcPr>
            <w:tcW w:w="2247" w:type="pct"/>
            <w:tcBorders>
              <w:top w:val="single" w:sz="4" w:space="0" w:color="auto"/>
              <w:left w:val="single" w:sz="4" w:space="0" w:color="auto"/>
              <w:bottom w:val="single" w:sz="4" w:space="0" w:color="auto"/>
              <w:right w:val="single" w:sz="4" w:space="0" w:color="auto"/>
            </w:tcBorders>
          </w:tcPr>
          <w:p w14:paraId="32B6FE7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Visi įrašomi duomenys privalo būti automatiškai paskirstomi visuose telkinio mazguose, duomenys vienu metu privalo būti saugomi bent dviejuose mazguose, užtikrinant duomenų išsaugojimą bet kurio vieno mazgo praradimo atveju. </w:t>
            </w:r>
          </w:p>
          <w:p w14:paraId="314C5FD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Privalo būti galimybė nurodyti telkinio mazgų išdėstymo patikimumo politiką, kad dubliuojami duomenys būtų saugomi skirtinguose korpusuose ar spintose, talpinančiose telkinio mazgus. </w:t>
            </w:r>
          </w:p>
          <w:p w14:paraId="5A0486D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Telkinio mazgai privalo būti maitinami iš perteklinių maitinimo šaltinių ir jungiami į elektros tinklą per dubliuotas sąsajas. </w:t>
            </w:r>
          </w:p>
          <w:p w14:paraId="7AB54BC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darbas neturi sutrikti dėl vieno mazgo komponentų gedimo.</w:t>
            </w:r>
          </w:p>
          <w:p w14:paraId="182A010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galimybė perkamų mazgų apimtyje naudoti skirtingas patikimumo politikas virtualios mašinos lygmenyje, įskaitant, bet neapsiribojant „</w:t>
            </w:r>
            <w:r w:rsidRPr="0056752C">
              <w:rPr>
                <w:rFonts w:asciiTheme="minorHAnsi" w:hAnsiTheme="minorHAnsi" w:cstheme="minorHAnsi"/>
                <w:i/>
                <w:iCs/>
                <w:sz w:val="20"/>
                <w:szCs w:val="20"/>
                <w:lang w:val="lt-LT"/>
              </w:rPr>
              <w:t>Mirror</w:t>
            </w:r>
            <w:r w:rsidRPr="0056752C">
              <w:rPr>
                <w:rFonts w:asciiTheme="minorHAnsi" w:hAnsiTheme="minorHAnsi" w:cstheme="minorHAnsi"/>
                <w:sz w:val="20"/>
                <w:szCs w:val="20"/>
                <w:lang w:val="lt-LT"/>
              </w:rPr>
              <w:t>“ (dubliavimu) bei „RAID5 (5+1) lygio „</w:t>
            </w:r>
            <w:r w:rsidRPr="0056752C">
              <w:rPr>
                <w:rFonts w:asciiTheme="minorHAnsi" w:hAnsiTheme="minorHAnsi" w:cstheme="minorHAnsi"/>
                <w:i/>
                <w:iCs/>
                <w:sz w:val="20"/>
                <w:szCs w:val="20"/>
                <w:lang w:val="lt-LT"/>
              </w:rPr>
              <w:t>Erasure coding</w:t>
            </w:r>
            <w:r w:rsidRPr="0056752C">
              <w:rPr>
                <w:rFonts w:asciiTheme="minorHAnsi" w:hAnsiTheme="minorHAnsi" w:cstheme="minorHAnsi"/>
                <w:sz w:val="20"/>
                <w:szCs w:val="20"/>
                <w:lang w:val="lt-LT"/>
              </w:rPr>
              <w:t xml:space="preserve">“.  </w:t>
            </w:r>
          </w:p>
        </w:tc>
        <w:tc>
          <w:tcPr>
            <w:tcW w:w="1449" w:type="pct"/>
            <w:tcBorders>
              <w:top w:val="single" w:sz="4" w:space="0" w:color="auto"/>
              <w:left w:val="single" w:sz="4" w:space="0" w:color="auto"/>
              <w:bottom w:val="single" w:sz="4" w:space="0" w:color="auto"/>
              <w:right w:val="single" w:sz="4" w:space="0" w:color="auto"/>
            </w:tcBorders>
          </w:tcPr>
          <w:p w14:paraId="1E76C95B"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567923D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4586352"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7DE7470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valdymas</w:t>
            </w:r>
          </w:p>
        </w:tc>
        <w:tc>
          <w:tcPr>
            <w:tcW w:w="2247" w:type="pct"/>
            <w:tcBorders>
              <w:top w:val="single" w:sz="4" w:space="0" w:color="auto"/>
              <w:left w:val="single" w:sz="4" w:space="0" w:color="auto"/>
              <w:bottom w:val="single" w:sz="4" w:space="0" w:color="auto"/>
              <w:right w:val="single" w:sz="4" w:space="0" w:color="auto"/>
            </w:tcBorders>
          </w:tcPr>
          <w:p w14:paraId="2C9DF77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Visi telkinio resursai (skaičiavimo, tinklo ir duomenų saugojimo resursai, virtualizavimo platforma (hypervizorius) ir jos komponentai) privalo būti suderinami su Perkančiosios organizacijos naudojamu VMware vCenter serveriu. </w:t>
            </w:r>
          </w:p>
          <w:p w14:paraId="432B9B8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Viso telkinio aparatinės įrangos atpažinimas, inicializavimas, pradinis programinės valdymo, skaičiavimo ir duomenų saugyklų posistemių virtualizavimo įrangos diegimas, tvarkyklių ir versijų naujinimas ateityje privalo būti atliekamas kaip vieningas procesas. </w:t>
            </w:r>
          </w:p>
          <w:p w14:paraId="7AFA30D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Gamintojas privalo garantuoti visų aparatinių ir programinių elementų suderinamumą ir savalaikį visų komponentų (įskaitant virtualizacijos platformos) tvarkyklių ir versijų atnaujinimą ateityje, viso telkinio įrangos gyvavimo ciklo laiku.</w:t>
            </w:r>
          </w:p>
        </w:tc>
        <w:tc>
          <w:tcPr>
            <w:tcW w:w="1449" w:type="pct"/>
            <w:tcBorders>
              <w:top w:val="single" w:sz="4" w:space="0" w:color="auto"/>
              <w:left w:val="single" w:sz="4" w:space="0" w:color="auto"/>
              <w:bottom w:val="single" w:sz="4" w:space="0" w:color="auto"/>
              <w:right w:val="single" w:sz="4" w:space="0" w:color="auto"/>
            </w:tcBorders>
          </w:tcPr>
          <w:p w14:paraId="6B311ED8" w14:textId="77777777" w:rsidR="00322315" w:rsidRPr="0056752C" w:rsidRDefault="00322315" w:rsidP="006D50DF">
            <w:pPr>
              <w:spacing w:after="120" w:line="240" w:lineRule="auto"/>
              <w:rPr>
                <w:rFonts w:asciiTheme="minorHAnsi" w:hAnsiTheme="minorHAnsi" w:cstheme="minorHAnsi"/>
                <w:b/>
                <w:i/>
                <w:sz w:val="20"/>
                <w:szCs w:val="20"/>
                <w:lang w:val="lt-LT"/>
              </w:rPr>
            </w:pPr>
          </w:p>
        </w:tc>
      </w:tr>
      <w:tr w:rsidR="00322315" w:rsidRPr="0056752C" w14:paraId="26FD9B3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006144E1"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2E9C27A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Reikalavimai duomenų saugojimo posistemei</w:t>
            </w:r>
          </w:p>
        </w:tc>
        <w:tc>
          <w:tcPr>
            <w:tcW w:w="2247" w:type="pct"/>
            <w:tcBorders>
              <w:top w:val="single" w:sz="4" w:space="0" w:color="auto"/>
              <w:left w:val="single" w:sz="4" w:space="0" w:color="auto"/>
              <w:bottom w:val="single" w:sz="4" w:space="0" w:color="auto"/>
              <w:right w:val="single" w:sz="4" w:space="0" w:color="auto"/>
            </w:tcBorders>
          </w:tcPr>
          <w:p w14:paraId="37AB240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Telkinio duomenų saugyklos duomenys privalo būti automatiškai paskirstomi visuose telkinio mazguose pagal telkinio veikimo technologiją ir duomenų apsaugos lygį. </w:t>
            </w:r>
          </w:p>
          <w:p w14:paraId="3B92761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Visi pateikiami diskai privalo būti NVMe tipo.</w:t>
            </w:r>
          </w:p>
          <w:p w14:paraId="7CC91DC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Pateikiami diskai privalo būti gamintojo ištestuoti ir kvalifikuoti siūlomam sprendimui.</w:t>
            </w:r>
          </w:p>
          <w:p w14:paraId="4A87674E" w14:textId="77777777" w:rsidR="00322315" w:rsidRPr="0056752C" w:rsidRDefault="00322315" w:rsidP="006D50DF">
            <w:pPr>
              <w:spacing w:after="120" w:line="240" w:lineRule="auto"/>
              <w:rPr>
                <w:rFonts w:asciiTheme="minorHAnsi" w:hAnsiTheme="minorHAnsi" w:cstheme="minorHAnsi"/>
                <w:sz w:val="20"/>
                <w:szCs w:val="20"/>
                <w:highlight w:val="yellow"/>
                <w:lang w:val="lt-LT"/>
              </w:rPr>
            </w:pPr>
            <w:r w:rsidRPr="0056752C">
              <w:rPr>
                <w:rFonts w:asciiTheme="minorHAnsi" w:hAnsiTheme="minorHAnsi" w:cstheme="minorHAnsi"/>
                <w:sz w:val="20"/>
                <w:szCs w:val="20"/>
                <w:lang w:val="lt-LT"/>
              </w:rPr>
              <w:t>Bendra panaudojama duomenų talpa privalo būti ne mažesnė kaip 150TB (visiems duomenims naudojant ne mažiau patikimą nei RAID 6 (erasure coding tipo duomenų apsauga yra privaloma) duomenų blokų apsaugos mechanizmą, nevertinant duomenų suspaudimo ir išdubliavimo).</w:t>
            </w:r>
          </w:p>
          <w:p w14:paraId="4792EE4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Hipervizoriaus veikimui privalo būti skirti du dedikuoti ne prastesnės kaip SSD technologijos diskai, apsaugoti aparatiniu RAID1, kiekvieno disko talpa – ne mažesnė nei 960 GB. </w:t>
            </w:r>
          </w:p>
          <w:p w14:paraId="6ACC1CE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Telkinio duomenų saugyklos posistemės našumas - ne mažiau negu 350‘000 IOPS esant atsako laikui mažesniam nei 1ms, esant  apkrovos tipui OLTP 16K, kai atsitiktinis skaitymo/rašymo santykis – 70/30. Pateikti gamintojo modeliavimo įrankio ataskaitos kopiją. </w:t>
            </w:r>
          </w:p>
          <w:p w14:paraId="337E384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Sistema privalo automatiškai perkelti duomenų blokus tarp diskų spartinančiosios atminties srities ir duomenų srities. Spartinančios atminties sritis privalo būti dubliuojama ir/arba apsaugota nuo duomenų sugadinimo.</w:t>
            </w:r>
          </w:p>
          <w:p w14:paraId="0C415AE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Visų mazgų visų duomenų diskų talpa privalo būti matoma kaip viena bendra talpa duomenims saugoti. Pridedant naujus mazgus į telkinį, talpa privalo būti </w:t>
            </w:r>
            <w:r w:rsidRPr="0056752C">
              <w:rPr>
                <w:rFonts w:asciiTheme="minorHAnsi" w:hAnsiTheme="minorHAnsi" w:cstheme="minorHAnsi"/>
                <w:sz w:val="20"/>
                <w:szCs w:val="20"/>
                <w:lang w:val="lt-LT"/>
              </w:rPr>
              <w:lastRenderedPageBreak/>
              <w:t>plečiama automatiškai, nestabdant telkinio ir virtualių mašinų darbo. Analogiškai, nestabdant darbo, privalo būti užtikrintas ir atskirų mazgų pašalinimas iš telkinio arba senų mazgų pakeitimas naujais.</w:t>
            </w:r>
          </w:p>
          <w:p w14:paraId="42490D5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Duomenų saugyklos posistemė privalo turėti optimizavimo funkcijas, užtikrinančias duomenų sumažinimą pagal gamintojo siūlomus algoritmus (angl. „data reduction“).</w:t>
            </w:r>
          </w:p>
          <w:p w14:paraId="07925A2B" w14:textId="77777777" w:rsidR="00322315" w:rsidRPr="0056752C" w:rsidRDefault="00322315" w:rsidP="006D50DF">
            <w:pPr>
              <w:spacing w:after="120" w:line="240" w:lineRule="auto"/>
              <w:rPr>
                <w:rFonts w:asciiTheme="minorHAnsi" w:hAnsiTheme="minorHAnsi" w:cstheme="minorHAnsi"/>
                <w:sz w:val="20"/>
                <w:szCs w:val="20"/>
                <w:highlight w:val="yellow"/>
                <w:lang w:val="lt-LT"/>
              </w:rPr>
            </w:pPr>
            <w:r w:rsidRPr="0056752C">
              <w:rPr>
                <w:rFonts w:asciiTheme="minorHAnsi" w:hAnsiTheme="minorHAnsi" w:cstheme="minorHAnsi"/>
                <w:sz w:val="20"/>
                <w:szCs w:val="20"/>
                <w:lang w:val="lt-LT"/>
              </w:rPr>
              <w:t>Jei šis funkcionalumas licencijuojamas, privalo būti pateiktos licencijos visai perkamai duomenų talpai.</w:t>
            </w:r>
          </w:p>
          <w:p w14:paraId="1499CBA3" w14:textId="77777777" w:rsidR="00322315" w:rsidRPr="0056752C" w:rsidRDefault="00322315" w:rsidP="006D50DF">
            <w:pPr>
              <w:spacing w:after="120" w:line="240" w:lineRule="auto"/>
              <w:rPr>
                <w:rFonts w:asciiTheme="minorHAnsi" w:hAnsiTheme="minorHAnsi" w:cstheme="minorHAnsi"/>
                <w:sz w:val="20"/>
                <w:szCs w:val="20"/>
                <w:highlight w:val="yellow"/>
                <w:lang w:val="lt-LT"/>
              </w:rPr>
            </w:pPr>
            <w:r w:rsidRPr="0056752C">
              <w:rPr>
                <w:rFonts w:asciiTheme="minorHAnsi" w:hAnsiTheme="minorHAnsi" w:cstheme="minorHAnsi"/>
                <w:sz w:val="20"/>
                <w:szCs w:val="20"/>
                <w:lang w:val="lt-LT"/>
              </w:rPr>
              <w:t xml:space="preserve">Duomenų saugyklos posistemės programinis kodas privalo būti integrali hipervizoriaus kodo (angl. </w:t>
            </w:r>
            <w:r w:rsidRPr="0056752C">
              <w:rPr>
                <w:rFonts w:asciiTheme="minorHAnsi" w:hAnsiTheme="minorHAnsi" w:cstheme="minorHAnsi"/>
                <w:i/>
                <w:iCs/>
                <w:sz w:val="20"/>
                <w:szCs w:val="20"/>
                <w:lang w:val="lt-LT"/>
              </w:rPr>
              <w:t>„kernel“</w:t>
            </w:r>
            <w:r w:rsidRPr="0056752C">
              <w:rPr>
                <w:rFonts w:asciiTheme="minorHAnsi" w:hAnsiTheme="minorHAnsi" w:cstheme="minorHAnsi"/>
                <w:sz w:val="20"/>
                <w:szCs w:val="20"/>
                <w:lang w:val="lt-LT"/>
              </w:rPr>
              <w:t xml:space="preserve">) dalis. </w:t>
            </w:r>
          </w:p>
        </w:tc>
        <w:tc>
          <w:tcPr>
            <w:tcW w:w="1449" w:type="pct"/>
            <w:tcBorders>
              <w:top w:val="single" w:sz="4" w:space="0" w:color="auto"/>
              <w:left w:val="single" w:sz="4" w:space="0" w:color="auto"/>
              <w:bottom w:val="single" w:sz="4" w:space="0" w:color="auto"/>
              <w:right w:val="single" w:sz="4" w:space="0" w:color="auto"/>
            </w:tcBorders>
          </w:tcPr>
          <w:p w14:paraId="6B25DF8A"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7973178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A390810"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28F741A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Skaičiavimo resursai</w:t>
            </w:r>
          </w:p>
        </w:tc>
        <w:tc>
          <w:tcPr>
            <w:tcW w:w="2247" w:type="pct"/>
            <w:tcBorders>
              <w:top w:val="single" w:sz="4" w:space="0" w:color="auto"/>
              <w:left w:val="single" w:sz="4" w:space="0" w:color="auto"/>
              <w:bottom w:val="single" w:sz="4" w:space="0" w:color="auto"/>
              <w:right w:val="single" w:sz="4" w:space="0" w:color="auto"/>
            </w:tcBorders>
          </w:tcPr>
          <w:p w14:paraId="309E767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Ne mažiau kaip 1 procesorius.</w:t>
            </w:r>
          </w:p>
          <w:p w14:paraId="4A33820E"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x86 architektūros procesorius, palaikantis 64 bitų operacines sistemas ir taikomąsias programas, virtualizavimo instrukcijas aparatiniu lygmeniu.</w:t>
            </w:r>
          </w:p>
          <w:p w14:paraId="3511303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Palaikantis ne mažiau kaip 8 atminties kanalus.</w:t>
            </w:r>
          </w:p>
          <w:p w14:paraId="6F73CC1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Palaikantis ne mažiau kaip 4 TB atminties (per procesorių).</w:t>
            </w:r>
          </w:p>
          <w:p w14:paraId="4868FF2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ne mažiau kaip 32 fiziniai branduoliai procesoriuje.</w:t>
            </w:r>
          </w:p>
          <w:p w14:paraId="7F110D3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Procesoriaus dažnis ne mažesnis kaip 2.8 Ghz.</w:t>
            </w:r>
          </w:p>
          <w:p w14:paraId="4C353B4B" w14:textId="77777777" w:rsidR="00322315" w:rsidRPr="0056752C" w:rsidRDefault="00322315" w:rsidP="006D50DF">
            <w:pPr>
              <w:spacing w:after="120" w:line="240" w:lineRule="auto"/>
              <w:rPr>
                <w:rFonts w:asciiTheme="minorHAnsi" w:hAnsiTheme="minorHAnsi" w:cstheme="minorHAnsi"/>
                <w:color w:val="000000"/>
                <w:sz w:val="20"/>
                <w:szCs w:val="20"/>
                <w:lang w:val="lt-LT" w:eastAsia="lt-LT"/>
              </w:rPr>
            </w:pPr>
            <w:r w:rsidRPr="0056752C">
              <w:rPr>
                <w:rFonts w:asciiTheme="minorHAnsi" w:hAnsiTheme="minorHAnsi" w:cstheme="minorHAnsi"/>
                <w:color w:val="000000"/>
                <w:sz w:val="20"/>
                <w:szCs w:val="20"/>
                <w:lang w:val="lt-LT" w:eastAsia="lt-LT"/>
              </w:rPr>
              <w:t>Procesorius privalo užtikrinti ne mažesnį kaip (rezultatai nurodyti 1 procesoriau sistemai):</w:t>
            </w:r>
          </w:p>
          <w:p w14:paraId="31308231" w14:textId="77777777" w:rsidR="00322315" w:rsidRPr="0056752C" w:rsidRDefault="00322315" w:rsidP="006D50DF">
            <w:pPr>
              <w:spacing w:after="120" w:line="240" w:lineRule="auto"/>
              <w:rPr>
                <w:rFonts w:asciiTheme="minorHAnsi" w:hAnsiTheme="minorHAnsi" w:cstheme="minorHAnsi"/>
                <w:color w:val="000000"/>
                <w:sz w:val="20"/>
                <w:szCs w:val="20"/>
                <w:lang w:val="lt-LT" w:eastAsia="lt-LT"/>
              </w:rPr>
            </w:pPr>
            <w:r w:rsidRPr="0056752C">
              <w:rPr>
                <w:rFonts w:asciiTheme="minorHAnsi" w:hAnsiTheme="minorHAnsi" w:cstheme="minorHAnsi"/>
                <w:color w:val="000000"/>
                <w:sz w:val="20"/>
                <w:szCs w:val="20"/>
                <w:lang w:val="lt-LT" w:eastAsia="lt-LT"/>
              </w:rPr>
              <w:t>- 635 vienetų pagal SPECrate2017 int_base testą našumą;</w:t>
            </w:r>
          </w:p>
          <w:p w14:paraId="2CFF5264" w14:textId="77777777" w:rsidR="00322315" w:rsidRPr="0056752C" w:rsidRDefault="00322315" w:rsidP="006D50DF">
            <w:pPr>
              <w:spacing w:after="120" w:line="240" w:lineRule="auto"/>
              <w:rPr>
                <w:rFonts w:asciiTheme="minorHAnsi" w:hAnsiTheme="minorHAnsi" w:cstheme="minorHAnsi"/>
                <w:color w:val="000000"/>
                <w:sz w:val="20"/>
                <w:szCs w:val="20"/>
                <w:lang w:val="lt-LT" w:eastAsia="lt-LT"/>
              </w:rPr>
            </w:pPr>
            <w:r w:rsidRPr="0056752C">
              <w:rPr>
                <w:rFonts w:asciiTheme="minorHAnsi" w:hAnsiTheme="minorHAnsi" w:cstheme="minorHAnsi"/>
                <w:color w:val="000000"/>
                <w:sz w:val="20"/>
                <w:szCs w:val="20"/>
                <w:lang w:val="lt-LT" w:eastAsia="lt-LT"/>
              </w:rPr>
              <w:t>- 769 vienetų pagal SPECrate2017 fp_base testą našumą.</w:t>
            </w:r>
          </w:p>
          <w:p w14:paraId="5A088FD5" w14:textId="77777777" w:rsidR="00322315" w:rsidRPr="0056752C" w:rsidRDefault="00322315" w:rsidP="006D50DF">
            <w:pPr>
              <w:spacing w:after="120" w:line="240" w:lineRule="auto"/>
              <w:rPr>
                <w:rFonts w:asciiTheme="minorHAnsi" w:hAnsiTheme="minorHAnsi" w:cstheme="minorHAnsi"/>
                <w:b/>
                <w:color w:val="000000"/>
                <w:sz w:val="20"/>
                <w:szCs w:val="20"/>
                <w:lang w:val="lt-LT" w:eastAsia="lt-LT"/>
              </w:rPr>
            </w:pPr>
            <w:r w:rsidRPr="0056752C">
              <w:rPr>
                <w:rFonts w:asciiTheme="minorHAnsi" w:hAnsiTheme="minorHAnsi" w:cstheme="minorHAnsi"/>
                <w:b/>
                <w:color w:val="000000"/>
                <w:sz w:val="20"/>
                <w:szCs w:val="20"/>
                <w:lang w:val="lt-LT" w:eastAsia="lt-LT"/>
              </w:rPr>
              <w:t>Rezultatai privalo būti skelbiami adresu www.spec.org puslapyje ir pateikti pasiūlyme.</w:t>
            </w:r>
          </w:p>
          <w:p w14:paraId="1582BF7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Pateikiami našumo rezultatai privalo būti išmatuoti siūlomo gamintojo aparatinėje platformoje.</w:t>
            </w:r>
          </w:p>
        </w:tc>
        <w:tc>
          <w:tcPr>
            <w:tcW w:w="1449" w:type="pct"/>
            <w:tcBorders>
              <w:top w:val="single" w:sz="4" w:space="0" w:color="auto"/>
              <w:left w:val="single" w:sz="4" w:space="0" w:color="auto"/>
              <w:bottom w:val="single" w:sz="4" w:space="0" w:color="auto"/>
              <w:right w:val="single" w:sz="4" w:space="0" w:color="auto"/>
            </w:tcBorders>
          </w:tcPr>
          <w:p w14:paraId="53F8E17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Intel Xeon Gold 6548N</w:t>
            </w:r>
          </w:p>
          <w:p w14:paraId="0DEEA83E" w14:textId="77777777" w:rsidR="00322315" w:rsidRPr="0056752C" w:rsidRDefault="00322315" w:rsidP="006D50DF">
            <w:pPr>
              <w:spacing w:after="120" w:line="240" w:lineRule="auto"/>
              <w:rPr>
                <w:rFonts w:asciiTheme="minorHAnsi" w:hAnsiTheme="minorHAnsi" w:cstheme="minorHAnsi"/>
                <w:sz w:val="20"/>
                <w:szCs w:val="20"/>
                <w:lang w:val="lt-LT"/>
              </w:rPr>
            </w:pPr>
          </w:p>
          <w:p w14:paraId="17B8F85D" w14:textId="77777777" w:rsidR="00322315" w:rsidRPr="0056752C" w:rsidRDefault="00322315" w:rsidP="006D50DF">
            <w:pPr>
              <w:spacing w:after="120" w:line="240" w:lineRule="auto"/>
              <w:rPr>
                <w:rFonts w:asciiTheme="minorHAnsi" w:hAnsiTheme="minorHAnsi" w:cstheme="minorHAnsi"/>
                <w:sz w:val="20"/>
                <w:szCs w:val="20"/>
                <w:lang w:val="lt-LT"/>
              </w:rPr>
            </w:pPr>
            <w:hyperlink r:id="rId8" w:history="1">
              <w:r w:rsidRPr="0056752C">
                <w:rPr>
                  <w:rStyle w:val="Hyperlink"/>
                  <w:rFonts w:asciiTheme="minorHAnsi" w:hAnsiTheme="minorHAnsi" w:cstheme="minorHAnsi"/>
                  <w:sz w:val="20"/>
                  <w:szCs w:val="20"/>
                  <w:lang w:val="lt-LT"/>
                </w:rPr>
                <w:t>https://www.spec.org/cpu2017/results/res2024q1/cpu2017-20240112-40618.pdf</w:t>
              </w:r>
            </w:hyperlink>
            <w:r w:rsidRPr="0056752C">
              <w:rPr>
                <w:rFonts w:asciiTheme="minorHAnsi" w:hAnsiTheme="minorHAnsi" w:cstheme="minorHAnsi"/>
                <w:sz w:val="20"/>
                <w:szCs w:val="20"/>
                <w:lang w:val="lt-LT"/>
              </w:rPr>
              <w:t xml:space="preserve"> </w:t>
            </w:r>
          </w:p>
          <w:p w14:paraId="2E1CD736" w14:textId="77777777" w:rsidR="00322315" w:rsidRPr="0056752C" w:rsidRDefault="00322315" w:rsidP="006D50DF">
            <w:pPr>
              <w:spacing w:after="120" w:line="240" w:lineRule="auto"/>
              <w:rPr>
                <w:rFonts w:asciiTheme="minorHAnsi" w:hAnsiTheme="minorHAnsi" w:cstheme="minorHAnsi"/>
                <w:sz w:val="20"/>
                <w:szCs w:val="20"/>
                <w:lang w:val="lt-LT"/>
              </w:rPr>
            </w:pPr>
          </w:p>
          <w:p w14:paraId="2378FAC6" w14:textId="77777777" w:rsidR="00322315" w:rsidRPr="0056752C" w:rsidRDefault="00322315" w:rsidP="006D50DF">
            <w:pPr>
              <w:spacing w:after="120" w:line="240" w:lineRule="auto"/>
              <w:rPr>
                <w:rFonts w:asciiTheme="minorHAnsi" w:hAnsiTheme="minorHAnsi" w:cstheme="minorHAnsi"/>
                <w:sz w:val="20"/>
                <w:szCs w:val="20"/>
                <w:lang w:val="lt-LT"/>
              </w:rPr>
            </w:pPr>
            <w:r>
              <w:fldChar w:fldCharType="begin"/>
            </w:r>
            <w:r w:rsidRPr="003E2E59">
              <w:rPr>
                <w:lang w:val="lt-LT"/>
              </w:rPr>
              <w:instrText>HYPERLINK "https://www.spec.org/cpu2017/results/res2024q1/cpu2017-20240112-40601.pdf"</w:instrText>
            </w:r>
            <w:r>
              <w:fldChar w:fldCharType="separate"/>
            </w:r>
            <w:r w:rsidRPr="0056752C">
              <w:rPr>
                <w:rStyle w:val="Hyperlink"/>
                <w:rFonts w:asciiTheme="minorHAnsi" w:hAnsiTheme="minorHAnsi" w:cstheme="minorHAnsi"/>
                <w:sz w:val="20"/>
                <w:szCs w:val="20"/>
                <w:lang w:val="lt-LT"/>
              </w:rPr>
              <w:t>https://www.spec.org/cpu2017/results/res2024q1/cpu2017-20240112-40601.pdf</w:t>
            </w:r>
            <w:r>
              <w:fldChar w:fldCharType="end"/>
            </w:r>
            <w:r w:rsidRPr="0056752C">
              <w:rPr>
                <w:rFonts w:asciiTheme="minorHAnsi" w:hAnsiTheme="minorHAnsi" w:cstheme="minorHAnsi"/>
                <w:sz w:val="20"/>
                <w:szCs w:val="20"/>
                <w:lang w:val="lt-LT"/>
              </w:rPr>
              <w:t xml:space="preserve"> </w:t>
            </w:r>
          </w:p>
          <w:p w14:paraId="733954B2"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6CB00BC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362" w:type="pct"/>
            <w:tcBorders>
              <w:top w:val="single" w:sz="4" w:space="0" w:color="auto"/>
              <w:left w:val="single" w:sz="4" w:space="0" w:color="auto"/>
              <w:bottom w:val="single" w:sz="4" w:space="0" w:color="auto"/>
              <w:right w:val="single" w:sz="4" w:space="0" w:color="auto"/>
            </w:tcBorders>
            <w:noWrap/>
          </w:tcPr>
          <w:p w14:paraId="4F5AF21B"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6F06E21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Atminties resursai</w:t>
            </w:r>
          </w:p>
        </w:tc>
        <w:tc>
          <w:tcPr>
            <w:tcW w:w="2247" w:type="pct"/>
            <w:tcBorders>
              <w:top w:val="single" w:sz="4" w:space="0" w:color="auto"/>
              <w:left w:val="single" w:sz="4" w:space="0" w:color="auto"/>
              <w:bottom w:val="single" w:sz="4" w:space="0" w:color="auto"/>
              <w:right w:val="single" w:sz="4" w:space="0" w:color="auto"/>
            </w:tcBorders>
          </w:tcPr>
          <w:p w14:paraId="761C052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Kiekviename mazge privalo būti ne mažiau, kaip 768GB 5200MT/s operatyvinės atminties (RAM). Atminties moduliai privalo būti vienodo dydžio. Atsiradus poreikiui, privalo būti galimybė atmintį išpėsti dvigubai, naudojant tokio paties dydžio atminties modulius, kaip ir pasiūlyti. </w:t>
            </w:r>
          </w:p>
        </w:tc>
        <w:tc>
          <w:tcPr>
            <w:tcW w:w="1449" w:type="pct"/>
            <w:tcBorders>
              <w:top w:val="single" w:sz="4" w:space="0" w:color="auto"/>
              <w:left w:val="single" w:sz="4" w:space="0" w:color="auto"/>
              <w:bottom w:val="single" w:sz="4" w:space="0" w:color="auto"/>
              <w:right w:val="single" w:sz="4" w:space="0" w:color="auto"/>
            </w:tcBorders>
          </w:tcPr>
          <w:p w14:paraId="2BFEE551"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0386E139"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38C173DE"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7086CEB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Tinklo sąsajos</w:t>
            </w:r>
          </w:p>
        </w:tc>
        <w:tc>
          <w:tcPr>
            <w:tcW w:w="2247" w:type="pct"/>
            <w:tcBorders>
              <w:top w:val="single" w:sz="4" w:space="0" w:color="auto"/>
              <w:left w:val="single" w:sz="4" w:space="0" w:color="auto"/>
              <w:bottom w:val="single" w:sz="4" w:space="0" w:color="auto"/>
              <w:right w:val="single" w:sz="4" w:space="0" w:color="auto"/>
            </w:tcBorders>
          </w:tcPr>
          <w:p w14:paraId="7EB4E56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Kiekvienas telkinio mazgas privalo turėti ne mažiau, kaip 4 vienetus 25Gbps greitaveikos prievadų. Kartu kiekvienam prievadui privalo būti pateiktas 25Gbps SFP28 – SFP28 ne trumpesnis nei 2 (dviejų) metrų DAC kabelis.</w:t>
            </w:r>
          </w:p>
        </w:tc>
        <w:tc>
          <w:tcPr>
            <w:tcW w:w="1449" w:type="pct"/>
            <w:tcBorders>
              <w:top w:val="single" w:sz="4" w:space="0" w:color="auto"/>
              <w:left w:val="single" w:sz="4" w:space="0" w:color="auto"/>
              <w:bottom w:val="single" w:sz="4" w:space="0" w:color="auto"/>
              <w:right w:val="single" w:sz="4" w:space="0" w:color="auto"/>
            </w:tcBorders>
          </w:tcPr>
          <w:p w14:paraId="7CD14667"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08E27A89"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87AE84C"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4E2EAC5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Papildomas telkinio funkcionalumas ir savybės</w:t>
            </w:r>
          </w:p>
        </w:tc>
        <w:tc>
          <w:tcPr>
            <w:tcW w:w="2247" w:type="pct"/>
            <w:tcBorders>
              <w:top w:val="single" w:sz="4" w:space="0" w:color="auto"/>
              <w:left w:val="single" w:sz="4" w:space="0" w:color="auto"/>
              <w:bottom w:val="single" w:sz="4" w:space="0" w:color="auto"/>
              <w:right w:val="single" w:sz="4" w:space="0" w:color="auto"/>
            </w:tcBorders>
          </w:tcPr>
          <w:p w14:paraId="6F963B5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Su telkiniu pateikiama programinė įranga privalo užtikrinti momentinių kopijų (angl. „snapshot“) ir pilnų kopijų (angl. „clone“) kūrimą virtualios mašinos lygmenyje (kai momentiškai kopijuojami tik vienos virtualios mašinos naudojami duomenų blokai). Privalo būti galima saugoti virtualios mašinos kopiją tame pačiame telkinyje, replikuoti saugomas virtualias mašinas į kitą perkančiosios organizacijos naudojamą VMware vSphere telkinį nutolusiame duomenų centre, arba abu būdus naudoti vienu metu tai pačiai virtualiai mašinai ar jų grupei. Privalo būti galimybė atstatyti virtualių mašinų duomenis į bet kurio praeities momento būseną (angl. „point-in-time restore“). Privalo būti palaikomos apibrėžtos būsenos aplikacijų momentinės kopijos (angl. „application consistent“). Privalo būti palaikoma galimybė aprašyti duomenų kopijavimo planą kiekvienai virtualiai mašinai) ar virtualių mašinų grupei (angl. „consistency group“) atskirai.</w:t>
            </w:r>
          </w:p>
          <w:p w14:paraId="716EE86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Privalo būti galimybė suteikti prieigą prie telkinio duomenų per iSCSI arba lygiavertę sąsają išorinėms tarnybinėms stotims. </w:t>
            </w:r>
          </w:p>
          <w:p w14:paraId="46D7481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Visos virtualių mašinų skaitymo operacijos privalo būti vykdomos naudojant viso telkinio spartinančiąją atmintį, jeigu sistema yra normalioje darbinėje būsenoje.</w:t>
            </w:r>
          </w:p>
          <w:p w14:paraId="4BF5272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Telkinys privalo palaikyti politikas (angl. </w:t>
            </w:r>
            <w:r w:rsidRPr="0056752C">
              <w:rPr>
                <w:rFonts w:asciiTheme="minorHAnsi" w:hAnsiTheme="minorHAnsi" w:cstheme="minorHAnsi"/>
                <w:i/>
                <w:iCs/>
                <w:sz w:val="20"/>
                <w:szCs w:val="20"/>
                <w:lang w:val="lt-LT"/>
              </w:rPr>
              <w:t>„Storage based policies“</w:t>
            </w:r>
            <w:r w:rsidRPr="0056752C">
              <w:rPr>
                <w:rFonts w:asciiTheme="minorHAnsi" w:hAnsiTheme="minorHAnsi" w:cstheme="minorHAnsi"/>
                <w:sz w:val="20"/>
                <w:szCs w:val="20"/>
                <w:lang w:val="lt-LT"/>
              </w:rPr>
              <w:t xml:space="preserve">) - galimybė nustatyti detalias duomenų saugyklos posistemės veikimo politikas (VM apsaugos lygį, prioritetų resursams valdymą (angl. </w:t>
            </w:r>
            <w:r w:rsidRPr="0056752C">
              <w:rPr>
                <w:rFonts w:asciiTheme="minorHAnsi" w:hAnsiTheme="minorHAnsi" w:cstheme="minorHAnsi"/>
                <w:i/>
                <w:iCs/>
                <w:sz w:val="20"/>
                <w:szCs w:val="20"/>
                <w:lang w:val="lt-LT"/>
              </w:rPr>
              <w:t>„Quality of Service“</w:t>
            </w:r>
            <w:r w:rsidRPr="0056752C">
              <w:rPr>
                <w:rFonts w:asciiTheme="minorHAnsi" w:hAnsiTheme="minorHAnsi" w:cstheme="minorHAnsi"/>
                <w:sz w:val="20"/>
                <w:szCs w:val="20"/>
                <w:lang w:val="lt-LT"/>
              </w:rPr>
              <w:t xml:space="preserve">)) kiekvienai virtualiai mašinai, objektui arba jų grupei. </w:t>
            </w:r>
          </w:p>
        </w:tc>
        <w:tc>
          <w:tcPr>
            <w:tcW w:w="1449" w:type="pct"/>
            <w:tcBorders>
              <w:top w:val="single" w:sz="4" w:space="0" w:color="auto"/>
              <w:left w:val="single" w:sz="4" w:space="0" w:color="auto"/>
              <w:bottom w:val="single" w:sz="4" w:space="0" w:color="auto"/>
              <w:right w:val="single" w:sz="4" w:space="0" w:color="auto"/>
            </w:tcBorders>
          </w:tcPr>
          <w:p w14:paraId="16EC78C9"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74CAB029"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3838021"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16D77232"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Licencijavimas</w:t>
            </w:r>
          </w:p>
        </w:tc>
        <w:tc>
          <w:tcPr>
            <w:tcW w:w="2247" w:type="pct"/>
            <w:tcBorders>
              <w:top w:val="single" w:sz="4" w:space="0" w:color="auto"/>
              <w:left w:val="single" w:sz="4" w:space="0" w:color="auto"/>
              <w:bottom w:val="single" w:sz="4" w:space="0" w:color="auto"/>
              <w:right w:val="single" w:sz="4" w:space="0" w:color="auto"/>
            </w:tcBorders>
          </w:tcPr>
          <w:p w14:paraId="6244938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pateiktas licencijų komplektas, atitinkantis gamintojo licencijavimo principus,  integravimui su perkančiosios organizacijos naudojamos programinės įrangos platformomis - VMware vCenter, VMware vSphere:</w:t>
            </w:r>
          </w:p>
          <w:p w14:paraId="7BDD4237" w14:textId="77777777" w:rsidR="00322315" w:rsidRPr="0056752C" w:rsidRDefault="00322315" w:rsidP="00322315">
            <w:pPr>
              <w:numPr>
                <w:ilvl w:val="0"/>
                <w:numId w:val="6"/>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Virtualizacijos programinė įranga ne blogiau kaip VMware vSphere Enterprise Plus arba lygiavertė;</w:t>
            </w:r>
          </w:p>
          <w:p w14:paraId="72422872" w14:textId="77777777" w:rsidR="00322315" w:rsidRPr="0056752C" w:rsidRDefault="00322315" w:rsidP="00322315">
            <w:pPr>
              <w:numPr>
                <w:ilvl w:val="0"/>
                <w:numId w:val="6"/>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Virtualizacijos valdymo programinė įranga ne blogiau kaip VMware vCenter arba lygiavertė;</w:t>
            </w:r>
          </w:p>
          <w:p w14:paraId="6F168FFA" w14:textId="77777777" w:rsidR="00322315" w:rsidRPr="0056752C" w:rsidRDefault="00322315" w:rsidP="00322315">
            <w:pPr>
              <w:numPr>
                <w:ilvl w:val="0"/>
                <w:numId w:val="6"/>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Licencijos reikalingos hiperkonverguotos infrastruktūros duomenų saugyklos posistemės funkcionalumui užtikrinti ne blogiau kaip VMware vSAN Enterprise Plus arba lygiavertės;</w:t>
            </w:r>
          </w:p>
          <w:p w14:paraId="4F9E5FAF" w14:textId="77777777" w:rsidR="00322315" w:rsidRPr="0056752C" w:rsidRDefault="00322315" w:rsidP="00322315">
            <w:pPr>
              <w:numPr>
                <w:ilvl w:val="0"/>
                <w:numId w:val="6"/>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lastRenderedPageBreak/>
              <w:t>Komercinis sisteminių įrašų kaupimo, apdorojimo ir atvaizdavimo įrankis ne blogiau kaip VMware vRealize Log Insight arba lygiavertis;</w:t>
            </w:r>
          </w:p>
          <w:p w14:paraId="09C98BC7" w14:textId="77777777" w:rsidR="00322315" w:rsidRPr="0056752C" w:rsidRDefault="00322315" w:rsidP="00322315">
            <w:pPr>
              <w:numPr>
                <w:ilvl w:val="0"/>
                <w:numId w:val="6"/>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Virtualizacijos virtualaus tinklo programinė įranga ne blogiau kaip NSX-T, arba lygiavertė.</w:t>
            </w:r>
          </w:p>
          <w:p w14:paraId="1404048C" w14:textId="77777777" w:rsidR="00322315" w:rsidRPr="0056752C" w:rsidRDefault="00322315" w:rsidP="00322315">
            <w:pPr>
              <w:numPr>
                <w:ilvl w:val="0"/>
                <w:numId w:val="6"/>
              </w:numPr>
              <w:spacing w:after="120" w:line="240" w:lineRule="auto"/>
              <w:rPr>
                <w:rFonts w:asciiTheme="minorHAnsi" w:eastAsiaTheme="minorEastAsia" w:hAnsiTheme="minorHAnsi" w:cstheme="minorHAnsi"/>
                <w:sz w:val="20"/>
                <w:szCs w:val="20"/>
                <w:lang w:val="lt-LT"/>
              </w:rPr>
            </w:pPr>
            <w:r w:rsidRPr="0056752C">
              <w:rPr>
                <w:rFonts w:asciiTheme="minorHAnsi" w:hAnsiTheme="minorHAnsi" w:cstheme="minorHAnsi"/>
                <w:sz w:val="20"/>
                <w:szCs w:val="20"/>
                <w:lang w:val="lt-LT"/>
              </w:rPr>
              <w:t>Komercinis virtualizacijos platformos valdymo, stebėjimo ir priežiūros įrankis  ne blogiau kaip VMware vROPS Advanced (Aria Operatiosn Advanced) arba lygiavertis.</w:t>
            </w:r>
          </w:p>
          <w:p w14:paraId="792F2BA0" w14:textId="77777777" w:rsidR="00322315" w:rsidRPr="0056752C" w:rsidRDefault="00322315" w:rsidP="00322315">
            <w:pPr>
              <w:numPr>
                <w:ilvl w:val="0"/>
                <w:numId w:val="6"/>
              </w:numPr>
              <w:spacing w:after="120" w:line="240" w:lineRule="auto"/>
              <w:rPr>
                <w:rFonts w:asciiTheme="minorHAnsi" w:eastAsiaTheme="minorEastAsia" w:hAnsiTheme="minorHAnsi" w:cstheme="minorHAnsi"/>
                <w:sz w:val="20"/>
                <w:szCs w:val="20"/>
                <w:lang w:val="lt-LT"/>
              </w:rPr>
            </w:pPr>
            <w:r w:rsidRPr="0056752C">
              <w:rPr>
                <w:rFonts w:asciiTheme="minorHAnsi" w:hAnsiTheme="minorHAnsi" w:cstheme="minorHAnsi"/>
                <w:sz w:val="20"/>
                <w:szCs w:val="20"/>
                <w:lang w:val="lt-LT"/>
              </w:rPr>
              <w:t xml:space="preserve">Duomenų apsaugos ir atstatymo programinė įranga, skirta virtualizacijos platformai bei užtikrinanti artimą nuliui RTO ir RPO. Ši programinė įranga privalo būti to paties gamintojo kaip ir Hiperkonverguotos infarstruktūros telkinio sprendimas ir privalo būti pilnai su šiuo sprendimu suderinama arba lygevertė. </w:t>
            </w:r>
          </w:p>
          <w:p w14:paraId="21A97EE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Pateikiamas licencijų komplektas privalo pilnai atitinkanti siūlomo gamintojo licencijavimo principus ir pilnai licencijuoti visą siūlomą įrangos kiekį.</w:t>
            </w:r>
          </w:p>
        </w:tc>
        <w:tc>
          <w:tcPr>
            <w:tcW w:w="1449" w:type="pct"/>
            <w:tcBorders>
              <w:top w:val="single" w:sz="4" w:space="0" w:color="auto"/>
              <w:left w:val="single" w:sz="4" w:space="0" w:color="auto"/>
              <w:bottom w:val="single" w:sz="4" w:space="0" w:color="auto"/>
              <w:right w:val="single" w:sz="4" w:space="0" w:color="auto"/>
            </w:tcBorders>
          </w:tcPr>
          <w:p w14:paraId="7E754AFC"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174A7A6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1ED51699"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6FD0AF3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Virtulių tarnybinių stočių aukšto patikimumo užtikrinimas</w:t>
            </w:r>
          </w:p>
        </w:tc>
        <w:tc>
          <w:tcPr>
            <w:tcW w:w="2247" w:type="pct"/>
            <w:tcBorders>
              <w:top w:val="single" w:sz="4" w:space="0" w:color="auto"/>
              <w:left w:val="single" w:sz="4" w:space="0" w:color="auto"/>
              <w:bottom w:val="single" w:sz="4" w:space="0" w:color="auto"/>
              <w:right w:val="single" w:sz="4" w:space="0" w:color="auto"/>
            </w:tcBorders>
          </w:tcPr>
          <w:p w14:paraId="33DFB83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Tarnybinės stoties gedimo atveju virtualizacijos programinė įranga privalo turėti funkcionalumą užtikrinti automatinį virtualių tarnybinių stočių įjungimą kitoje veikiančioje tarnybinėje stotyje. Privalo būti palaikoma automatizuota gedimų detekcija ir atstatymas klasterio lygiu.</w:t>
            </w:r>
          </w:p>
        </w:tc>
        <w:tc>
          <w:tcPr>
            <w:tcW w:w="1449" w:type="pct"/>
            <w:tcBorders>
              <w:top w:val="single" w:sz="4" w:space="0" w:color="auto"/>
              <w:left w:val="single" w:sz="4" w:space="0" w:color="auto"/>
              <w:bottom w:val="single" w:sz="4" w:space="0" w:color="auto"/>
              <w:right w:val="single" w:sz="4" w:space="0" w:color="auto"/>
            </w:tcBorders>
          </w:tcPr>
          <w:p w14:paraId="28A9DB30"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6835D97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1F47BE6E"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1E614E1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Virtualių tarnybinių stočių migravimas</w:t>
            </w:r>
          </w:p>
        </w:tc>
        <w:tc>
          <w:tcPr>
            <w:tcW w:w="2247" w:type="pct"/>
            <w:tcBorders>
              <w:top w:val="single" w:sz="4" w:space="0" w:color="auto"/>
              <w:left w:val="single" w:sz="4" w:space="0" w:color="auto"/>
              <w:bottom w:val="single" w:sz="4" w:space="0" w:color="auto"/>
              <w:right w:val="single" w:sz="4" w:space="0" w:color="auto"/>
            </w:tcBorders>
          </w:tcPr>
          <w:p w14:paraId="15FD90D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Programinė įranga privalo palaikyti ir užtikrinti virtualių tarnybinių stočių migravimą tarp virtualizacijos tarnybinių stočių taip, kad to nepastebėtų galutinis naudotojas ir kad virtualių tarnybinių stočių veikimas nebūtų pertraukiamas. Privalo būti galimybė migruoti virtualias tarnybines stotis tarp skirtingų virtualių tinklo komutatorių.</w:t>
            </w:r>
          </w:p>
        </w:tc>
        <w:tc>
          <w:tcPr>
            <w:tcW w:w="1449" w:type="pct"/>
            <w:tcBorders>
              <w:top w:val="single" w:sz="4" w:space="0" w:color="auto"/>
              <w:left w:val="single" w:sz="4" w:space="0" w:color="auto"/>
              <w:bottom w:val="single" w:sz="4" w:space="0" w:color="auto"/>
              <w:right w:val="single" w:sz="4" w:space="0" w:color="auto"/>
            </w:tcBorders>
          </w:tcPr>
          <w:p w14:paraId="3BA947D7"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6FDD9D3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4E5C788"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2E24A9E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Virtualių tarnybinių stočių nepertraukiamo veikimo užtikrinimas</w:t>
            </w:r>
          </w:p>
        </w:tc>
        <w:tc>
          <w:tcPr>
            <w:tcW w:w="2247" w:type="pct"/>
            <w:tcBorders>
              <w:top w:val="single" w:sz="4" w:space="0" w:color="auto"/>
              <w:left w:val="single" w:sz="4" w:space="0" w:color="auto"/>
              <w:bottom w:val="single" w:sz="4" w:space="0" w:color="auto"/>
              <w:right w:val="single" w:sz="4" w:space="0" w:color="auto"/>
            </w:tcBorders>
          </w:tcPr>
          <w:p w14:paraId="4F97331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Virtualizacijos programinė įranga privalo turėti galimybę sukonfigūruoti kelias virtualias tarnybines stotis aukšto patikimumo klasteryje (veikiančios kopijos sinchronizacija), t. y. vienos iš tarnybinių stočių gedimo atveju sinchronizuota virtuali tarnybinė stotis </w:t>
            </w:r>
            <w:r w:rsidRPr="0056752C">
              <w:rPr>
                <w:rFonts w:asciiTheme="minorHAnsi" w:hAnsiTheme="minorHAnsi" w:cstheme="minorHAnsi"/>
                <w:b/>
                <w:bCs/>
                <w:sz w:val="20"/>
                <w:szCs w:val="20"/>
                <w:lang w:val="lt-LT"/>
              </w:rPr>
              <w:t>nepertraukiamai</w:t>
            </w:r>
            <w:r w:rsidRPr="0056752C">
              <w:rPr>
                <w:rFonts w:asciiTheme="minorHAnsi" w:hAnsiTheme="minorHAnsi" w:cstheme="minorHAnsi"/>
                <w:sz w:val="20"/>
                <w:szCs w:val="20"/>
                <w:lang w:val="lt-LT"/>
              </w:rPr>
              <w:t xml:space="preserve"> tęsia darbą. Virtualios tarnybinės stotys gali naudoti ne mažiau kaip </w:t>
            </w:r>
            <w:r w:rsidRPr="0056752C">
              <w:rPr>
                <w:rFonts w:asciiTheme="minorHAnsi" w:hAnsiTheme="minorHAnsi" w:cstheme="minorHAnsi"/>
                <w:b/>
                <w:bCs/>
                <w:sz w:val="20"/>
                <w:szCs w:val="20"/>
                <w:lang w:val="lt-LT"/>
              </w:rPr>
              <w:t>8 virtualius procesorius</w:t>
            </w:r>
            <w:r w:rsidRPr="0056752C">
              <w:rPr>
                <w:rFonts w:asciiTheme="minorHAnsi" w:hAnsiTheme="minorHAnsi" w:cstheme="minorHAnsi"/>
                <w:sz w:val="20"/>
                <w:szCs w:val="20"/>
                <w:lang w:val="lt-LT"/>
              </w:rPr>
              <w:t>.</w:t>
            </w:r>
          </w:p>
        </w:tc>
        <w:tc>
          <w:tcPr>
            <w:tcW w:w="1449" w:type="pct"/>
            <w:tcBorders>
              <w:top w:val="single" w:sz="4" w:space="0" w:color="auto"/>
              <w:left w:val="single" w:sz="4" w:space="0" w:color="auto"/>
              <w:bottom w:val="single" w:sz="4" w:space="0" w:color="auto"/>
              <w:right w:val="single" w:sz="4" w:space="0" w:color="auto"/>
            </w:tcBorders>
          </w:tcPr>
          <w:p w14:paraId="768F3B29"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32E7764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nil"/>
              <w:left w:val="single" w:sz="8" w:space="0" w:color="auto"/>
              <w:bottom w:val="single" w:sz="8" w:space="0" w:color="auto"/>
              <w:right w:val="single" w:sz="8" w:space="0" w:color="auto"/>
            </w:tcBorders>
            <w:shd w:val="clear" w:color="auto" w:fill="FFFFFF" w:themeFill="background1"/>
            <w:noWrap/>
          </w:tcPr>
          <w:p w14:paraId="23E6050E"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4A5CA01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Aukštą patikimumą užtikrinanti failų sistema</w:t>
            </w:r>
          </w:p>
        </w:tc>
        <w:tc>
          <w:tcPr>
            <w:tcW w:w="2247" w:type="pct"/>
            <w:tcBorders>
              <w:top w:val="nil"/>
              <w:left w:val="nil"/>
              <w:bottom w:val="single" w:sz="8" w:space="0" w:color="auto"/>
              <w:right w:val="single" w:sz="8" w:space="0" w:color="auto"/>
            </w:tcBorders>
            <w:shd w:val="clear" w:color="auto" w:fill="FFFFFF" w:themeFill="background1"/>
          </w:tcPr>
          <w:p w14:paraId="5E772A9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užtikrinti lygiagretaus naudojimo failų sistemos veikimą, leidžiantį kelioms tarnybinėms stotims naudoti tą pačią duomenų saugyklą. Failų sistema privalo leisti migruoti virtualias tarnybines stotis iš vienos duomenų saugyklos į kitą, nestabdant virtualių serverių darbo.</w:t>
            </w:r>
          </w:p>
        </w:tc>
        <w:tc>
          <w:tcPr>
            <w:tcW w:w="1449" w:type="pct"/>
            <w:tcBorders>
              <w:top w:val="nil"/>
              <w:left w:val="single" w:sz="8" w:space="0" w:color="auto"/>
              <w:bottom w:val="single" w:sz="8" w:space="0" w:color="auto"/>
              <w:right w:val="single" w:sz="8" w:space="0" w:color="auto"/>
            </w:tcBorders>
            <w:shd w:val="clear" w:color="auto" w:fill="FFFFFF" w:themeFill="background1"/>
          </w:tcPr>
          <w:p w14:paraId="1CA9A339"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4AA4C0F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nil"/>
              <w:left w:val="single" w:sz="8" w:space="0" w:color="auto"/>
              <w:bottom w:val="single" w:sz="4" w:space="0" w:color="auto"/>
              <w:right w:val="single" w:sz="8" w:space="0" w:color="auto"/>
            </w:tcBorders>
            <w:shd w:val="clear" w:color="auto" w:fill="FFFFFF" w:themeFill="background1"/>
            <w:noWrap/>
          </w:tcPr>
          <w:p w14:paraId="74B27BCE"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4" w:space="0" w:color="auto"/>
              <w:right w:val="single" w:sz="8" w:space="0" w:color="auto"/>
            </w:tcBorders>
            <w:shd w:val="clear" w:color="auto" w:fill="FFFFFF" w:themeFill="background1"/>
            <w:noWrap/>
          </w:tcPr>
          <w:p w14:paraId="7E447622"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Virtualių tarnybinių stočių duomenų valdymas</w:t>
            </w:r>
          </w:p>
        </w:tc>
        <w:tc>
          <w:tcPr>
            <w:tcW w:w="2247" w:type="pct"/>
            <w:tcBorders>
              <w:top w:val="nil"/>
              <w:left w:val="nil"/>
              <w:bottom w:val="single" w:sz="4" w:space="0" w:color="auto"/>
              <w:right w:val="single" w:sz="8" w:space="0" w:color="auto"/>
            </w:tcBorders>
            <w:shd w:val="clear" w:color="auto" w:fill="FFFFFF" w:themeFill="background1"/>
          </w:tcPr>
          <w:p w14:paraId="2374F09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užtikrinti automatinį, valdymo nustatymais (policy) paremtą virtualių tarnybinių stočių talpinimą skirtingo tipo ir parametrų duomenų saugyklose.</w:t>
            </w:r>
          </w:p>
        </w:tc>
        <w:tc>
          <w:tcPr>
            <w:tcW w:w="1449" w:type="pct"/>
            <w:tcBorders>
              <w:top w:val="nil"/>
              <w:left w:val="single" w:sz="8" w:space="0" w:color="auto"/>
              <w:bottom w:val="single" w:sz="8" w:space="0" w:color="auto"/>
              <w:right w:val="single" w:sz="8" w:space="0" w:color="auto"/>
            </w:tcBorders>
            <w:shd w:val="clear" w:color="auto" w:fill="FFFFFF" w:themeFill="background1"/>
          </w:tcPr>
          <w:p w14:paraId="583D81AD"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65CFCF3B"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8" w:space="0" w:color="auto"/>
              <w:bottom w:val="single" w:sz="8" w:space="0" w:color="auto"/>
              <w:right w:val="single" w:sz="8" w:space="0" w:color="auto"/>
            </w:tcBorders>
            <w:shd w:val="clear" w:color="auto" w:fill="FFFFFF" w:themeFill="background1"/>
            <w:noWrap/>
          </w:tcPr>
          <w:p w14:paraId="2D8C560B"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nil"/>
              <w:bottom w:val="single" w:sz="8" w:space="0" w:color="auto"/>
              <w:right w:val="single" w:sz="8" w:space="0" w:color="auto"/>
            </w:tcBorders>
            <w:shd w:val="clear" w:color="auto" w:fill="FFFFFF" w:themeFill="background1"/>
            <w:noWrap/>
          </w:tcPr>
          <w:p w14:paraId="7BCDBD4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Virtualių duomenų saugyklų migravimas</w:t>
            </w:r>
          </w:p>
        </w:tc>
        <w:tc>
          <w:tcPr>
            <w:tcW w:w="2247" w:type="pct"/>
            <w:tcBorders>
              <w:top w:val="single" w:sz="4" w:space="0" w:color="auto"/>
              <w:left w:val="nil"/>
              <w:bottom w:val="single" w:sz="8" w:space="0" w:color="auto"/>
              <w:right w:val="single" w:sz="8" w:space="0" w:color="auto"/>
            </w:tcBorders>
            <w:shd w:val="clear" w:color="auto" w:fill="FFFFFF" w:themeFill="background1"/>
          </w:tcPr>
          <w:p w14:paraId="1EE46D52"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Programinė įranga privalo palaikyti ir užtikrinti virtualių duomenų saugyklų / virtualių diskų migravimą tarp skirtingų fizinių duomenų saugyklų nestabdant virtualių tarnybinių stočių darbo.</w:t>
            </w:r>
          </w:p>
        </w:tc>
        <w:tc>
          <w:tcPr>
            <w:tcW w:w="1449" w:type="pct"/>
            <w:tcBorders>
              <w:top w:val="nil"/>
              <w:left w:val="single" w:sz="8" w:space="0" w:color="auto"/>
              <w:bottom w:val="single" w:sz="8" w:space="0" w:color="auto"/>
              <w:right w:val="single" w:sz="8" w:space="0" w:color="auto"/>
            </w:tcBorders>
            <w:shd w:val="clear" w:color="auto" w:fill="FFFFFF" w:themeFill="background1"/>
          </w:tcPr>
          <w:p w14:paraId="3C42B2BD"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1C8F0F74"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nil"/>
              <w:left w:val="single" w:sz="8" w:space="0" w:color="auto"/>
              <w:bottom w:val="single" w:sz="8" w:space="0" w:color="auto"/>
              <w:right w:val="single" w:sz="8" w:space="0" w:color="auto"/>
            </w:tcBorders>
            <w:shd w:val="clear" w:color="auto" w:fill="FFFFFF" w:themeFill="background1"/>
            <w:noWrap/>
          </w:tcPr>
          <w:p w14:paraId="704DEAB7"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783257F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Duomenų saugyklų virtualizacija</w:t>
            </w:r>
          </w:p>
        </w:tc>
        <w:tc>
          <w:tcPr>
            <w:tcW w:w="2247" w:type="pct"/>
            <w:tcBorders>
              <w:top w:val="nil"/>
              <w:left w:val="nil"/>
              <w:bottom w:val="single" w:sz="8" w:space="0" w:color="auto"/>
              <w:right w:val="single" w:sz="8" w:space="0" w:color="auto"/>
            </w:tcBorders>
            <w:shd w:val="clear" w:color="auto" w:fill="FFFFFF" w:themeFill="background1"/>
          </w:tcPr>
          <w:p w14:paraId="3E66086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palaikyti suderinamą duomenų saugyklų virtualizavimo galimybę, panaudojant duomenų valdymo nustatymus (policy), bei automatiškai išnaudoti duomenų saugyklų siūlomą funkcionalumą (pvz., momentinių kopijų valdymą, automatizuotą duomenų paskirstymo logiką, našumo/patikimumo profilius), kai tai palaiko duomenų saugyklos sprendimas.</w:t>
            </w:r>
          </w:p>
        </w:tc>
        <w:tc>
          <w:tcPr>
            <w:tcW w:w="1449" w:type="pct"/>
            <w:tcBorders>
              <w:top w:val="nil"/>
              <w:left w:val="single" w:sz="8" w:space="0" w:color="auto"/>
              <w:bottom w:val="single" w:sz="8" w:space="0" w:color="auto"/>
              <w:right w:val="single" w:sz="8" w:space="0" w:color="auto"/>
            </w:tcBorders>
            <w:shd w:val="clear" w:color="auto" w:fill="FFFFFF" w:themeFill="background1"/>
          </w:tcPr>
          <w:p w14:paraId="6B5E527A"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715F7AA1"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nil"/>
              <w:left w:val="single" w:sz="8" w:space="0" w:color="auto"/>
              <w:bottom w:val="single" w:sz="8" w:space="0" w:color="auto"/>
              <w:right w:val="single" w:sz="8" w:space="0" w:color="auto"/>
            </w:tcBorders>
            <w:shd w:val="clear" w:color="auto" w:fill="FFFFFF" w:themeFill="background1"/>
            <w:noWrap/>
          </w:tcPr>
          <w:p w14:paraId="375095CE"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298FD05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Duomenų saugyklų integravimo sąsajos</w:t>
            </w:r>
          </w:p>
        </w:tc>
        <w:tc>
          <w:tcPr>
            <w:tcW w:w="2247" w:type="pct"/>
            <w:tcBorders>
              <w:top w:val="nil"/>
              <w:left w:val="nil"/>
              <w:bottom w:val="single" w:sz="8" w:space="0" w:color="auto"/>
              <w:right w:val="single" w:sz="8" w:space="0" w:color="auto"/>
            </w:tcBorders>
            <w:shd w:val="clear" w:color="auto" w:fill="FFFFFF" w:themeFill="background1"/>
          </w:tcPr>
          <w:p w14:paraId="0D3743B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Pateikti sąrašą suderinamų duomenų saugyklų integracijų:</w:t>
            </w:r>
            <w:r w:rsidRPr="0056752C">
              <w:rPr>
                <w:rFonts w:asciiTheme="minorHAnsi" w:hAnsiTheme="minorHAnsi" w:cstheme="minorHAnsi"/>
                <w:sz w:val="20"/>
                <w:szCs w:val="20"/>
                <w:lang w:val="lt-LT"/>
              </w:rPr>
              <w:br/>
              <w:t>A) Suteikianti galimybę pateikti suderinamos duomenų saugyklos parametrus virtualizavimo programinei įrangai (modelį, turimus gebėjimus, diskų tipus ir t. t.).</w:t>
            </w:r>
            <w:r w:rsidRPr="0056752C">
              <w:rPr>
                <w:rFonts w:asciiTheme="minorHAnsi" w:hAnsiTheme="minorHAnsi" w:cstheme="minorHAnsi"/>
                <w:sz w:val="20"/>
                <w:szCs w:val="20"/>
                <w:lang w:val="lt-LT"/>
              </w:rPr>
              <w:br/>
              <w:t>B) Suteikianti galimybę perkelti duomenų valdymo funkcionalumą duomenų saugyklai (pvz., momentinių kopijų atlikimą).</w:t>
            </w:r>
            <w:r w:rsidRPr="0056752C">
              <w:rPr>
                <w:rFonts w:asciiTheme="minorHAnsi" w:hAnsiTheme="minorHAnsi" w:cstheme="minorHAnsi"/>
                <w:sz w:val="20"/>
                <w:szCs w:val="20"/>
                <w:lang w:val="lt-LT"/>
              </w:rPr>
              <w:br/>
              <w:t>C) Suteikianti galimybę integruoti kelių kelių (multipathing) valdymą ir naudoti kelių kelių politiką pagal gamintojo rekomendacijas.</w:t>
            </w:r>
            <w:r w:rsidRPr="0056752C">
              <w:rPr>
                <w:rFonts w:asciiTheme="minorHAnsi" w:hAnsiTheme="minorHAnsi" w:cstheme="minorHAnsi"/>
                <w:sz w:val="20"/>
                <w:szCs w:val="20"/>
                <w:lang w:val="lt-LT"/>
              </w:rPr>
              <w:br/>
              <w:t>Papildomai: privalo būti palaikomas SAN prijungimas per iSCSI prie hostų ir duomenų saugyklų naudojimas per bendro naudojimo datastores.</w:t>
            </w:r>
          </w:p>
        </w:tc>
        <w:tc>
          <w:tcPr>
            <w:tcW w:w="1449" w:type="pct"/>
            <w:tcBorders>
              <w:top w:val="nil"/>
              <w:left w:val="single" w:sz="8" w:space="0" w:color="auto"/>
              <w:bottom w:val="single" w:sz="8" w:space="0" w:color="auto"/>
              <w:right w:val="single" w:sz="8" w:space="0" w:color="auto"/>
            </w:tcBorders>
            <w:shd w:val="clear" w:color="auto" w:fill="FFFFFF" w:themeFill="background1"/>
          </w:tcPr>
          <w:p w14:paraId="1C2C7A60"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20D48ED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nil"/>
              <w:left w:val="single" w:sz="8" w:space="0" w:color="auto"/>
              <w:bottom w:val="single" w:sz="8" w:space="0" w:color="auto"/>
              <w:right w:val="single" w:sz="8" w:space="0" w:color="auto"/>
            </w:tcBorders>
            <w:shd w:val="clear" w:color="auto" w:fill="FFFFFF" w:themeFill="background1"/>
            <w:noWrap/>
          </w:tcPr>
          <w:p w14:paraId="76F076CF"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020ADB0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 turinio biblioteka</w:t>
            </w:r>
          </w:p>
        </w:tc>
        <w:tc>
          <w:tcPr>
            <w:tcW w:w="2247" w:type="pct"/>
            <w:tcBorders>
              <w:top w:val="nil"/>
              <w:left w:val="nil"/>
              <w:bottom w:val="single" w:sz="8" w:space="0" w:color="auto"/>
              <w:right w:val="single" w:sz="8" w:space="0" w:color="auto"/>
            </w:tcBorders>
            <w:shd w:val="clear" w:color="auto" w:fill="FFFFFF" w:themeFill="background1"/>
          </w:tcPr>
          <w:p w14:paraId="7580C6A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Virtualizavimo programinė įranga privalo turėti centralizuotą turinio saugojimo/laikymo biblioteką, skirtą virtualių tarnybinių stočių šablonų/atvaizdų, operacinių sistemų diegimo atvaizdų ar kito valdymo/diegimo turinio saugojimui. Privalo būti galimybė šią biblioteką pasiekti iš kelių skirtingų duomenų centrų.</w:t>
            </w:r>
          </w:p>
        </w:tc>
        <w:tc>
          <w:tcPr>
            <w:tcW w:w="1449" w:type="pct"/>
            <w:tcBorders>
              <w:top w:val="nil"/>
              <w:left w:val="single" w:sz="8" w:space="0" w:color="auto"/>
              <w:bottom w:val="single" w:sz="8" w:space="0" w:color="auto"/>
              <w:right w:val="single" w:sz="8" w:space="0" w:color="auto"/>
            </w:tcBorders>
            <w:shd w:val="clear" w:color="auto" w:fill="FFFFFF" w:themeFill="background1"/>
          </w:tcPr>
          <w:p w14:paraId="6851AFDD"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6C9BB8E2"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8" w:space="0" w:color="auto"/>
              <w:left w:val="single" w:sz="8" w:space="0" w:color="auto"/>
              <w:bottom w:val="single" w:sz="4" w:space="0" w:color="auto"/>
              <w:right w:val="single" w:sz="8" w:space="0" w:color="auto"/>
            </w:tcBorders>
            <w:shd w:val="clear" w:color="auto" w:fill="FFFFFF" w:themeFill="background1"/>
            <w:noWrap/>
          </w:tcPr>
          <w:p w14:paraId="1579D5D5"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nil"/>
              <w:bottom w:val="single" w:sz="4" w:space="0" w:color="auto"/>
              <w:right w:val="single" w:sz="8" w:space="0" w:color="auto"/>
            </w:tcBorders>
            <w:shd w:val="clear" w:color="auto" w:fill="FFFFFF" w:themeFill="background1"/>
            <w:noWrap/>
          </w:tcPr>
          <w:p w14:paraId="7E0D178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Resursų valdymas</w:t>
            </w:r>
          </w:p>
        </w:tc>
        <w:tc>
          <w:tcPr>
            <w:tcW w:w="2247" w:type="pct"/>
            <w:tcBorders>
              <w:top w:val="single" w:sz="8" w:space="0" w:color="auto"/>
              <w:left w:val="nil"/>
              <w:bottom w:val="single" w:sz="4" w:space="0" w:color="auto"/>
              <w:right w:val="single" w:sz="8" w:space="0" w:color="auto"/>
            </w:tcBorders>
            <w:shd w:val="clear" w:color="auto" w:fill="FFFFFF" w:themeFill="background1"/>
          </w:tcPr>
          <w:p w14:paraId="574C9D5D" w14:textId="77777777" w:rsidR="00322315" w:rsidRPr="0056752C" w:rsidRDefault="00322315" w:rsidP="00322315">
            <w:pPr>
              <w:numPr>
                <w:ilvl w:val="0"/>
                <w:numId w:val="16"/>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Programinė įranga privalo įgalinti priskirti virtualioms tarnybinėms stotims procesorius ar branduolius (bendro naudojimo procesorių modelis).</w:t>
            </w:r>
          </w:p>
          <w:p w14:paraId="313DD46C" w14:textId="77777777" w:rsidR="00322315" w:rsidRPr="0056752C" w:rsidRDefault="00322315" w:rsidP="00322315">
            <w:pPr>
              <w:numPr>
                <w:ilvl w:val="0"/>
                <w:numId w:val="16"/>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Programinė įranga privalo įgalinti valdyti priskirtų virtualių tinklo adapterių pajėgumus.</w:t>
            </w:r>
          </w:p>
          <w:p w14:paraId="2C0B12B2" w14:textId="77777777" w:rsidR="00322315" w:rsidRPr="0056752C" w:rsidRDefault="00322315" w:rsidP="00322315">
            <w:pPr>
              <w:numPr>
                <w:ilvl w:val="0"/>
                <w:numId w:val="16"/>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Galimybė virtualioms tarnybinėms stotims skirti daugiau atminties nei yra fiziškai, užtikrinant saugų atminties viršrezervavimą.</w:t>
            </w:r>
          </w:p>
          <w:p w14:paraId="3FD8F9E0" w14:textId="77777777" w:rsidR="00322315" w:rsidRPr="0056752C" w:rsidRDefault="00322315" w:rsidP="00322315">
            <w:pPr>
              <w:numPr>
                <w:ilvl w:val="0"/>
                <w:numId w:val="16"/>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Galimybė sugrąžinti nepanaudotą atmintį iš virtualių tarnybinių stočių („unused memory reclamation“).</w:t>
            </w:r>
          </w:p>
          <w:p w14:paraId="01F6DD9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galimybė virtualioms tarnybinėms stotims pridėti papildomus resursus (CPU, atmintį, diską, tinklo adapterius), nestabdant jų veikimo, jei tokį funkcionalumą palaiko virtualios tarnybinės stoties operacinė sistema. Galimybė pašalinti tinklo adapterius, SCSI adapterius ir diskus nestabdant darbo.</w:t>
            </w:r>
            <w:r w:rsidRPr="0056752C">
              <w:rPr>
                <w:rFonts w:asciiTheme="minorHAnsi" w:hAnsiTheme="minorHAnsi" w:cstheme="minorHAnsi"/>
                <w:sz w:val="20"/>
                <w:szCs w:val="20"/>
                <w:lang w:val="lt-LT"/>
              </w:rPr>
              <w:br/>
            </w:r>
            <w:r w:rsidRPr="0056752C">
              <w:rPr>
                <w:rFonts w:asciiTheme="minorHAnsi" w:hAnsiTheme="minorHAnsi" w:cstheme="minorHAnsi"/>
                <w:sz w:val="20"/>
                <w:szCs w:val="20"/>
                <w:lang w:val="lt-LT"/>
              </w:rPr>
              <w:lastRenderedPageBreak/>
              <w:t>Papildomai: privalo būti palaikomas atminties sluoksniavimas (tiering), naudojant vietines NVMe laikmenas kaip papildomą atminties sluoksnį (RAM+NVMe), automatizuojant karštų/šaltų blokų perkėlimą ir mažinant DRAM poreikį.</w:t>
            </w:r>
          </w:p>
        </w:tc>
        <w:tc>
          <w:tcPr>
            <w:tcW w:w="1449" w:type="pct"/>
            <w:tcBorders>
              <w:top w:val="single" w:sz="8" w:space="0" w:color="auto"/>
              <w:left w:val="single" w:sz="8" w:space="0" w:color="auto"/>
              <w:bottom w:val="single" w:sz="4" w:space="0" w:color="auto"/>
              <w:right w:val="single" w:sz="8" w:space="0" w:color="auto"/>
            </w:tcBorders>
            <w:shd w:val="clear" w:color="auto" w:fill="FFFFFF" w:themeFill="background1"/>
          </w:tcPr>
          <w:p w14:paraId="769FD42D"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568C5476"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8" w:space="0" w:color="auto"/>
              <w:bottom w:val="single" w:sz="8" w:space="0" w:color="auto"/>
              <w:right w:val="single" w:sz="8" w:space="0" w:color="auto"/>
            </w:tcBorders>
            <w:shd w:val="clear" w:color="auto" w:fill="FFFFFF" w:themeFill="background1"/>
            <w:noWrap/>
          </w:tcPr>
          <w:p w14:paraId="2D10B4A8"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nil"/>
              <w:bottom w:val="single" w:sz="8" w:space="0" w:color="auto"/>
              <w:right w:val="single" w:sz="8" w:space="0" w:color="auto"/>
            </w:tcBorders>
            <w:shd w:val="clear" w:color="auto" w:fill="FFFFFF" w:themeFill="background1"/>
            <w:noWrap/>
          </w:tcPr>
          <w:p w14:paraId="74EF62E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Virtualaus tinklo komutatorius</w:t>
            </w:r>
          </w:p>
        </w:tc>
        <w:tc>
          <w:tcPr>
            <w:tcW w:w="2247" w:type="pct"/>
            <w:tcBorders>
              <w:top w:val="single" w:sz="4" w:space="0" w:color="auto"/>
              <w:left w:val="nil"/>
              <w:bottom w:val="single" w:sz="8" w:space="0" w:color="auto"/>
              <w:right w:val="single" w:sz="8" w:space="0" w:color="auto"/>
            </w:tcBorders>
            <w:shd w:val="clear" w:color="auto" w:fill="FFFFFF" w:themeFill="background1"/>
          </w:tcPr>
          <w:p w14:paraId="1EB30C6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Siūloma programinė įranga privalo turėti galimybę kurti virtualius tinklo komutatorius.</w:t>
            </w:r>
            <w:r w:rsidRPr="0056752C">
              <w:rPr>
                <w:rFonts w:asciiTheme="minorHAnsi" w:hAnsiTheme="minorHAnsi" w:cstheme="minorHAnsi"/>
                <w:sz w:val="20"/>
                <w:szCs w:val="20"/>
                <w:lang w:val="lt-LT"/>
              </w:rPr>
              <w:br/>
              <w:t>Programinė įranga privalo įgalinti priskirti virtualioms tarnybinėms stotims tinklo adapterius, virtualius tinklus ar jų kombinacijas. Privalo palaikyti VLAN.</w:t>
            </w:r>
            <w:r w:rsidRPr="0056752C">
              <w:rPr>
                <w:rFonts w:asciiTheme="minorHAnsi" w:hAnsiTheme="minorHAnsi" w:cstheme="minorHAnsi"/>
                <w:sz w:val="20"/>
                <w:szCs w:val="20"/>
                <w:lang w:val="lt-LT"/>
              </w:rPr>
              <w:br/>
              <w:t>Siūloma programinė įranga privalo turėti centralizuotą sąsają, iš kurios galima konfigūruoti, prižiūrėti ir administruoti visoje infrastruktūroje esančius virtualius tinklo komutatorius (centralizuotas „distributed“ valdymas).</w:t>
            </w:r>
            <w:r w:rsidRPr="0056752C">
              <w:rPr>
                <w:rFonts w:asciiTheme="minorHAnsi" w:hAnsiTheme="minorHAnsi" w:cstheme="minorHAnsi"/>
                <w:sz w:val="20"/>
                <w:szCs w:val="20"/>
                <w:lang w:val="lt-LT"/>
              </w:rPr>
              <w:br/>
              <w:t>Privalo būti galimybė atlikti tinklo srauto valdymo veiksmus: įeinančio/išeinančio tinklo pralaidos ribojimas, dalinimas tarp skirtingų virtualių mašinų.</w:t>
            </w:r>
          </w:p>
        </w:tc>
        <w:tc>
          <w:tcPr>
            <w:tcW w:w="1449" w:type="pct"/>
            <w:tcBorders>
              <w:top w:val="single" w:sz="4" w:space="0" w:color="auto"/>
              <w:left w:val="single" w:sz="4" w:space="0" w:color="auto"/>
              <w:bottom w:val="single" w:sz="4" w:space="0" w:color="auto"/>
              <w:right w:val="single" w:sz="4" w:space="0" w:color="auto"/>
            </w:tcBorders>
          </w:tcPr>
          <w:p w14:paraId="55EF408D"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0CD8FC1B"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0911AA4"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39B7F55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Dinaminis resursų paskirstymas</w:t>
            </w:r>
          </w:p>
        </w:tc>
        <w:tc>
          <w:tcPr>
            <w:tcW w:w="2247" w:type="pct"/>
            <w:tcBorders>
              <w:top w:val="nil"/>
              <w:left w:val="nil"/>
              <w:bottom w:val="single" w:sz="4" w:space="0" w:color="auto"/>
              <w:right w:val="single" w:sz="8" w:space="0" w:color="auto"/>
            </w:tcBorders>
            <w:shd w:val="clear" w:color="auto" w:fill="FFFFFF" w:themeFill="background1"/>
          </w:tcPr>
          <w:p w14:paraId="614D17A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Virtualizacijos programinė įranga privalo turėti galimybę kurti fizinių resursų telkinius (fizinių tarnybinių stočių telkinį ir fizinių duomenų saugyklų telkinį), bei pagal apkrovos valdymo ir paskirstymo taisykles automatiškai perbalansuoti darbo apkrovas telkinio ribose, užtikrinant optimaliausią fizinių resursų panaudojimą.</w:t>
            </w:r>
            <w:r w:rsidRPr="0056752C">
              <w:rPr>
                <w:rFonts w:asciiTheme="minorHAnsi" w:hAnsiTheme="minorHAnsi" w:cstheme="minorHAnsi"/>
                <w:sz w:val="20"/>
                <w:szCs w:val="20"/>
                <w:lang w:val="lt-LT"/>
              </w:rPr>
              <w:br/>
              <w:t>Papildomai: privalo būti palaikoma energijos optimizacija, automatiškai konsoliduojant apkrovas ir sumažinant nenaudojamų resursų energijos sąnaudas (kai tai leidžia infrastruktūra).</w:t>
            </w:r>
          </w:p>
        </w:tc>
        <w:tc>
          <w:tcPr>
            <w:tcW w:w="1449" w:type="pct"/>
            <w:tcBorders>
              <w:top w:val="single" w:sz="4" w:space="0" w:color="auto"/>
              <w:left w:val="single" w:sz="4" w:space="0" w:color="auto"/>
              <w:bottom w:val="single" w:sz="4" w:space="0" w:color="auto"/>
              <w:right w:val="single" w:sz="4" w:space="0" w:color="auto"/>
            </w:tcBorders>
          </w:tcPr>
          <w:p w14:paraId="659128D9"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14444B6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B4C412A"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nil"/>
              <w:bottom w:val="single" w:sz="4" w:space="0" w:color="auto"/>
              <w:right w:val="single" w:sz="8" w:space="0" w:color="auto"/>
            </w:tcBorders>
            <w:shd w:val="clear" w:color="auto" w:fill="FFFFFF" w:themeFill="background1"/>
            <w:noWrap/>
          </w:tcPr>
          <w:p w14:paraId="376CF2A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Tarnybinių stočių automatizuotas diegimas</w:t>
            </w:r>
          </w:p>
        </w:tc>
        <w:tc>
          <w:tcPr>
            <w:tcW w:w="2247" w:type="pct"/>
            <w:tcBorders>
              <w:top w:val="single" w:sz="4" w:space="0" w:color="auto"/>
              <w:left w:val="nil"/>
              <w:bottom w:val="single" w:sz="8" w:space="0" w:color="auto"/>
              <w:right w:val="single" w:sz="8" w:space="0" w:color="auto"/>
            </w:tcBorders>
            <w:shd w:val="clear" w:color="auto" w:fill="FFFFFF" w:themeFill="background1"/>
          </w:tcPr>
          <w:p w14:paraId="69A5B706"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Virtualizavimo programinė įranga privalo turėti galimybę atlikti automatinį fizinių stočių (hostų) diegimą iš centralizuoto valdymo serverio. Taip pat privalo užtikrinti galimybę naudoti hostų profilių / konfigūracijų šablonus, kurie leistų paprastinti diegimo ir atnaujinimo procesą.</w:t>
            </w:r>
            <w:r w:rsidRPr="0056752C">
              <w:rPr>
                <w:rFonts w:asciiTheme="minorHAnsi" w:hAnsiTheme="minorHAnsi" w:cstheme="minorHAnsi"/>
                <w:sz w:val="20"/>
                <w:szCs w:val="20"/>
                <w:lang w:val="lt-LT"/>
              </w:rPr>
              <w:br/>
              <w:t>Papildomai: privalo būti palaikomas centralizuotas hostų gyvavimo ciklo valdymas (image-based), įskaitant suderinamumo patikras prieš atnaujinimus, automatizuotą atnaujinimų vykdymą klasterio režimu ir grąžinimo (rollback) scenarijus.</w:t>
            </w:r>
          </w:p>
          <w:p w14:paraId="156B508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galimybė taikyti kritines hipervizoriaus pataisas be hosto perkrovimo ir be hosto įvedimo į techninės priežiūros režimą (live patching), kai tai leidžia pataisos tipas ir gamintojo metodika.</w:t>
            </w:r>
          </w:p>
        </w:tc>
        <w:tc>
          <w:tcPr>
            <w:tcW w:w="1449" w:type="pct"/>
            <w:tcBorders>
              <w:top w:val="single" w:sz="4" w:space="0" w:color="auto"/>
              <w:left w:val="single" w:sz="4" w:space="0" w:color="auto"/>
              <w:bottom w:val="single" w:sz="4" w:space="0" w:color="auto"/>
              <w:right w:val="single" w:sz="4" w:space="0" w:color="auto"/>
            </w:tcBorders>
          </w:tcPr>
          <w:p w14:paraId="50FCFB5F"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5029BA8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1B0E34E5"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nil"/>
              <w:bottom w:val="single" w:sz="8" w:space="0" w:color="auto"/>
              <w:right w:val="single" w:sz="8" w:space="0" w:color="auto"/>
            </w:tcBorders>
            <w:shd w:val="clear" w:color="auto" w:fill="FFFFFF" w:themeFill="background1"/>
            <w:noWrap/>
          </w:tcPr>
          <w:p w14:paraId="0B0FF3A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Skaitymo operacijų spartinimo užtikrinimas</w:t>
            </w:r>
          </w:p>
        </w:tc>
        <w:tc>
          <w:tcPr>
            <w:tcW w:w="2247" w:type="pct"/>
            <w:tcBorders>
              <w:top w:val="nil"/>
              <w:left w:val="nil"/>
              <w:bottom w:val="single" w:sz="8" w:space="0" w:color="auto"/>
              <w:right w:val="single" w:sz="8" w:space="0" w:color="auto"/>
            </w:tcBorders>
            <w:shd w:val="clear" w:color="auto" w:fill="FFFFFF" w:themeFill="background1"/>
          </w:tcPr>
          <w:p w14:paraId="7E0446C7"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Naudojant lokalias „flash“ tipo laikmenas hostuose, siūloma programinė įranga privalo suteikti skaitymo operacijų spartinimo galimybę, sumažinant skaitymo operacijų apkrovą duomenų masyve (read cache / read acceleration).</w:t>
            </w:r>
          </w:p>
          <w:p w14:paraId="051C481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lastRenderedPageBreak/>
              <w:t>Privalo būti palaikomos modernios „all-flash / all-NVMe“ saugyklų topologijos ir našumo optimizacijos pagal gamintojo rekomendacijas.</w:t>
            </w:r>
          </w:p>
        </w:tc>
        <w:tc>
          <w:tcPr>
            <w:tcW w:w="1449" w:type="pct"/>
            <w:tcBorders>
              <w:top w:val="single" w:sz="4" w:space="0" w:color="auto"/>
              <w:left w:val="single" w:sz="4" w:space="0" w:color="auto"/>
              <w:bottom w:val="single" w:sz="4" w:space="0" w:color="auto"/>
              <w:right w:val="single" w:sz="4" w:space="0" w:color="auto"/>
            </w:tcBorders>
          </w:tcPr>
          <w:p w14:paraId="29056CC0"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30DAC201"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BE65A8F"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7F2D07A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Virtualių grafinių procesorių palaikymas</w:t>
            </w:r>
          </w:p>
        </w:tc>
        <w:tc>
          <w:tcPr>
            <w:tcW w:w="2247" w:type="pct"/>
            <w:tcBorders>
              <w:top w:val="nil"/>
              <w:left w:val="nil"/>
              <w:bottom w:val="single" w:sz="8" w:space="0" w:color="auto"/>
              <w:right w:val="single" w:sz="8" w:space="0" w:color="auto"/>
            </w:tcBorders>
            <w:shd w:val="clear" w:color="auto" w:fill="FFFFFF" w:themeFill="background1"/>
          </w:tcPr>
          <w:p w14:paraId="7D8B542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Siūloma programinė įranga privalo palaikyti fizinių GPU priskyrimą virtualioms tarnybinėms stotims (passthrough) ir GPU resursų dalinimą (vGPU), pagal gamintojo sertifikavimą ir suderinamumo sąrašus.</w:t>
            </w:r>
          </w:p>
        </w:tc>
        <w:tc>
          <w:tcPr>
            <w:tcW w:w="1449" w:type="pct"/>
            <w:tcBorders>
              <w:top w:val="single" w:sz="4" w:space="0" w:color="auto"/>
              <w:left w:val="single" w:sz="4" w:space="0" w:color="auto"/>
              <w:bottom w:val="single" w:sz="4" w:space="0" w:color="auto"/>
              <w:right w:val="single" w:sz="4" w:space="0" w:color="auto"/>
            </w:tcBorders>
          </w:tcPr>
          <w:p w14:paraId="65275452"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07ED6020"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53516FA3"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7634A0C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Atsarginių kopijų atlikimas</w:t>
            </w:r>
          </w:p>
        </w:tc>
        <w:tc>
          <w:tcPr>
            <w:tcW w:w="2247" w:type="pct"/>
            <w:tcBorders>
              <w:top w:val="nil"/>
              <w:left w:val="nil"/>
              <w:bottom w:val="single" w:sz="8" w:space="0" w:color="auto"/>
              <w:right w:val="single" w:sz="8" w:space="0" w:color="auto"/>
            </w:tcBorders>
            <w:shd w:val="clear" w:color="auto" w:fill="FFFFFF" w:themeFill="background1"/>
          </w:tcPr>
          <w:p w14:paraId="5C09911E"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Siūloma programinė įranga privalo suteikti galimybę atlikti virtualių tarnybinių stočių atsargines kopijas naudojant integracines sąsajas (API) su trečiųjų šalių atsarginių kopijų sprendimais, suteikiant galimybę kopijuoti ir atstatyti virtualias tarnybines stotis, taip pat palaikyti momentinių kopijų mechanizmus ir atstatymo testavimą.</w:t>
            </w:r>
          </w:p>
        </w:tc>
        <w:tc>
          <w:tcPr>
            <w:tcW w:w="1449" w:type="pct"/>
            <w:tcBorders>
              <w:top w:val="single" w:sz="4" w:space="0" w:color="auto"/>
              <w:left w:val="single" w:sz="4" w:space="0" w:color="auto"/>
              <w:bottom w:val="single" w:sz="4" w:space="0" w:color="auto"/>
              <w:right w:val="single" w:sz="4" w:space="0" w:color="auto"/>
            </w:tcBorders>
          </w:tcPr>
          <w:p w14:paraId="76111206"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14724631"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388D6D7D"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24AE214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Šifravimo galimybės</w:t>
            </w:r>
          </w:p>
        </w:tc>
        <w:tc>
          <w:tcPr>
            <w:tcW w:w="2247" w:type="pct"/>
            <w:tcBorders>
              <w:top w:val="nil"/>
              <w:left w:val="nil"/>
              <w:bottom w:val="single" w:sz="8" w:space="0" w:color="auto"/>
              <w:right w:val="single" w:sz="8" w:space="0" w:color="auto"/>
            </w:tcBorders>
            <w:shd w:val="clear" w:color="auto" w:fill="FFFFFF" w:themeFill="background1"/>
          </w:tcPr>
          <w:p w14:paraId="473FD54C"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Siūloma programinė įranga privalo suteikti galimybę šifruoti virtualias tarnybines stotis ir jų duomenis (duomenų saugyklose), taip pat palaikyti raktų valdymą (KMS) per standartines sąsajas ir politikomis paremtą šifravimo taikymą.</w:t>
            </w:r>
          </w:p>
          <w:p w14:paraId="76E68E0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palaikomos saugaus paleidimo, virtualaus patikimumo modulio (vTPM klasės) ir audituojamo raktų keitimo/rotacijos galimybės.</w:t>
            </w:r>
          </w:p>
        </w:tc>
        <w:tc>
          <w:tcPr>
            <w:tcW w:w="1449" w:type="pct"/>
            <w:tcBorders>
              <w:top w:val="single" w:sz="4" w:space="0" w:color="auto"/>
              <w:left w:val="single" w:sz="4" w:space="0" w:color="auto"/>
              <w:bottom w:val="single" w:sz="4" w:space="0" w:color="auto"/>
              <w:right w:val="single" w:sz="4" w:space="0" w:color="auto"/>
            </w:tcBorders>
          </w:tcPr>
          <w:p w14:paraId="05E3EFC7"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6A84687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EFB6F4F"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0EEA1BA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Sistemų sveikatingumo stebėsena</w:t>
            </w:r>
          </w:p>
        </w:tc>
        <w:tc>
          <w:tcPr>
            <w:tcW w:w="2247" w:type="pct"/>
            <w:tcBorders>
              <w:top w:val="nil"/>
              <w:left w:val="nil"/>
              <w:bottom w:val="single" w:sz="4" w:space="0" w:color="auto"/>
              <w:right w:val="single" w:sz="8" w:space="0" w:color="auto"/>
            </w:tcBorders>
            <w:shd w:val="clear" w:color="auto" w:fill="FFFFFF" w:themeFill="background1"/>
          </w:tcPr>
          <w:p w14:paraId="46342D3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Siūloma programinė įranga privalo turėti galimybę analizuoti virtualios infrastruktūros komponentus, dinamiškai įvertinti jų kitimą, bei panaudojant iš anksto paruoštus parametrus sugeneruoti pranešimus apie galimas grėsmes, sistemos sveikatingumą, bei efektyvų jos išnaudojimą. Privalo būti „day-2“ operacijų analitika su įspėjimų koreliacija, triukšmo mažinimu (alert dedup/correlation) ir priežasties-pasekmės (root-cause) įžvalgomis.</w:t>
            </w:r>
          </w:p>
        </w:tc>
        <w:tc>
          <w:tcPr>
            <w:tcW w:w="1449" w:type="pct"/>
            <w:tcBorders>
              <w:top w:val="single" w:sz="4" w:space="0" w:color="auto"/>
              <w:left w:val="single" w:sz="4" w:space="0" w:color="auto"/>
              <w:bottom w:val="single" w:sz="4" w:space="0" w:color="auto"/>
              <w:right w:val="single" w:sz="4" w:space="0" w:color="auto"/>
            </w:tcBorders>
          </w:tcPr>
          <w:p w14:paraId="5AB846E3"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115C8FEE"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4A8ED61"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nil"/>
              <w:bottom w:val="single" w:sz="4" w:space="0" w:color="auto"/>
              <w:right w:val="single" w:sz="8" w:space="0" w:color="auto"/>
            </w:tcBorders>
            <w:shd w:val="clear" w:color="auto" w:fill="FFFFFF" w:themeFill="background1"/>
            <w:noWrap/>
          </w:tcPr>
          <w:p w14:paraId="0FA79302"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Našumo stebėsena</w:t>
            </w:r>
          </w:p>
        </w:tc>
        <w:tc>
          <w:tcPr>
            <w:tcW w:w="2247" w:type="pct"/>
            <w:tcBorders>
              <w:top w:val="single" w:sz="4" w:space="0" w:color="auto"/>
              <w:left w:val="nil"/>
              <w:bottom w:val="single" w:sz="8" w:space="0" w:color="auto"/>
              <w:right w:val="single" w:sz="8" w:space="0" w:color="auto"/>
            </w:tcBorders>
            <w:shd w:val="clear" w:color="auto" w:fill="FFFFFF" w:themeFill="background1"/>
          </w:tcPr>
          <w:p w14:paraId="2ABF757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Programinė įranga, panaudojanti dinaminius algoritmus, privalo pateikti intuityvius našumo stebėjimo grafikus, bei sistemos optimizavimo ir tvarkymo rekomendacijas. Privalo būti galimybė sukurti perkančiosios organizacijos poreikius atitinkančius nustatymus, tolerancijos ribas, bei sprendimo veiksmus (automatinės reakcijos / automatizuotos užduotys).</w:t>
            </w:r>
          </w:p>
        </w:tc>
        <w:tc>
          <w:tcPr>
            <w:tcW w:w="1449" w:type="pct"/>
            <w:tcBorders>
              <w:top w:val="single" w:sz="4" w:space="0" w:color="auto"/>
              <w:left w:val="single" w:sz="4" w:space="0" w:color="auto"/>
              <w:bottom w:val="single" w:sz="4" w:space="0" w:color="auto"/>
              <w:right w:val="single" w:sz="4" w:space="0" w:color="auto"/>
            </w:tcBorders>
          </w:tcPr>
          <w:p w14:paraId="0E092EFE"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118519B8"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270A6625"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nil"/>
              <w:bottom w:val="single" w:sz="8" w:space="0" w:color="auto"/>
              <w:right w:val="single" w:sz="8" w:space="0" w:color="auto"/>
            </w:tcBorders>
            <w:shd w:val="clear" w:color="auto" w:fill="FFFFFF" w:themeFill="background1"/>
            <w:noWrap/>
          </w:tcPr>
          <w:p w14:paraId="54FD5442"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Virtualios infrastruktūros valdymas ir optimizavimas</w:t>
            </w:r>
          </w:p>
        </w:tc>
        <w:tc>
          <w:tcPr>
            <w:tcW w:w="2247" w:type="pct"/>
            <w:tcBorders>
              <w:top w:val="nil"/>
              <w:left w:val="nil"/>
              <w:bottom w:val="single" w:sz="8" w:space="0" w:color="auto"/>
              <w:right w:val="single" w:sz="8" w:space="0" w:color="auto"/>
            </w:tcBorders>
            <w:shd w:val="clear" w:color="auto" w:fill="FFFFFF" w:themeFill="background1"/>
          </w:tcPr>
          <w:p w14:paraId="1596585F"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Programinė įranga privalo turėti galimybę, įvertinant realius virtualių tarnybinių stočių poreikius bei sukonfigūruotos infrastruktūros komponentus, pateikti įvertinimus dėl perteklinių resursų priskyrimo (procesorių, atminties, diskų vietos). Privalo būti galimybė numatyti ateities projektus bei jų poreikius ir šiuos duomenis įtraukti į efektyvaus panaudojimo vertinimą. </w:t>
            </w:r>
          </w:p>
          <w:p w14:paraId="43C8F9A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funkcionalumas talpos planavimui (capacity planning) su prognozėmis ir „what-if“ scenarijais.</w:t>
            </w:r>
          </w:p>
        </w:tc>
        <w:tc>
          <w:tcPr>
            <w:tcW w:w="1449" w:type="pct"/>
            <w:tcBorders>
              <w:top w:val="single" w:sz="4" w:space="0" w:color="auto"/>
              <w:left w:val="single" w:sz="4" w:space="0" w:color="auto"/>
              <w:bottom w:val="single" w:sz="4" w:space="0" w:color="auto"/>
              <w:right w:val="single" w:sz="4" w:space="0" w:color="auto"/>
            </w:tcBorders>
          </w:tcPr>
          <w:p w14:paraId="101F0810"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1EF5B204"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3A385B65"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1F170A5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Suderinamumas su Perkančiosios organizacijos naudojama VMware virtualizacijos platforma</w:t>
            </w:r>
          </w:p>
        </w:tc>
        <w:tc>
          <w:tcPr>
            <w:tcW w:w="2247" w:type="pct"/>
            <w:tcBorders>
              <w:top w:val="nil"/>
              <w:left w:val="nil"/>
              <w:bottom w:val="single" w:sz="8" w:space="0" w:color="auto"/>
              <w:right w:val="single" w:sz="8" w:space="0" w:color="auto"/>
            </w:tcBorders>
            <w:shd w:val="clear" w:color="auto" w:fill="FFFFFF" w:themeFill="background1"/>
          </w:tcPr>
          <w:p w14:paraId="51F4342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Siūloma programinė įranga privalo būti visiškai suderinama su perkančiosios organizacijos šiuo metu naudojama virtualizacijos platforma, jos valdymo architektūra ir integracijomis. Privalo būti užtikrintas sklandus perėjimas ir migracija, išlaikant veikimo logiką, valdymo objektus, teisių modelį, šablonus ir integracijas (pvz., atsarginių kopijų, stebėsenos, katalogų/šablonų saugyklos).</w:t>
            </w:r>
          </w:p>
        </w:tc>
        <w:tc>
          <w:tcPr>
            <w:tcW w:w="1449" w:type="pct"/>
            <w:tcBorders>
              <w:top w:val="single" w:sz="4" w:space="0" w:color="auto"/>
              <w:left w:val="single" w:sz="4" w:space="0" w:color="auto"/>
              <w:bottom w:val="single" w:sz="4" w:space="0" w:color="auto"/>
              <w:right w:val="single" w:sz="4" w:space="0" w:color="auto"/>
            </w:tcBorders>
          </w:tcPr>
          <w:p w14:paraId="20816468"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61BD6830"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52BAFAD3"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6A35536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Visos platformos gyvavimo ciklo valdymas (full-stack LCM)</w:t>
            </w:r>
          </w:p>
        </w:tc>
        <w:tc>
          <w:tcPr>
            <w:tcW w:w="2247" w:type="pct"/>
            <w:tcBorders>
              <w:top w:val="nil"/>
              <w:left w:val="nil"/>
              <w:bottom w:val="single" w:sz="8" w:space="0" w:color="auto"/>
              <w:right w:val="single" w:sz="8" w:space="0" w:color="auto"/>
            </w:tcBorders>
            <w:shd w:val="clear" w:color="auto" w:fill="FFFFFF" w:themeFill="background1"/>
          </w:tcPr>
          <w:p w14:paraId="1ACDA60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Sprendimas privalo suteikti vieningą diegimo, inventorizacijos, konfigūracijos, suderinamumo patikrų, atnaujinimų ir versijų naujinimų valdymą visiems platformos sluoksniams (skaičiavimo, tinklo, saugyklos integracijų, valdymo, stebėsenos, automatizacijos). Privalomi „pre-check“ patikrinimai, suderinamumo validacija ir centralizuotas atnaujinimų orkestravimas.</w:t>
            </w:r>
          </w:p>
        </w:tc>
        <w:tc>
          <w:tcPr>
            <w:tcW w:w="1449" w:type="pct"/>
            <w:tcBorders>
              <w:top w:val="single" w:sz="4" w:space="0" w:color="auto"/>
              <w:left w:val="single" w:sz="4" w:space="0" w:color="auto"/>
              <w:bottom w:val="single" w:sz="4" w:space="0" w:color="auto"/>
              <w:right w:val="single" w:sz="4" w:space="0" w:color="auto"/>
            </w:tcBorders>
          </w:tcPr>
          <w:p w14:paraId="5E6848CA"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2B65BF9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3A52EE7A"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1A938D8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Automatizacija ir savitarna</w:t>
            </w:r>
          </w:p>
        </w:tc>
        <w:tc>
          <w:tcPr>
            <w:tcW w:w="2247" w:type="pct"/>
            <w:tcBorders>
              <w:top w:val="nil"/>
              <w:left w:val="nil"/>
              <w:bottom w:val="single" w:sz="8" w:space="0" w:color="auto"/>
              <w:right w:val="single" w:sz="8" w:space="0" w:color="auto"/>
            </w:tcBorders>
            <w:shd w:val="clear" w:color="auto" w:fill="FFFFFF" w:themeFill="background1"/>
          </w:tcPr>
          <w:p w14:paraId="29A900E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savitarnos katalogas (service catalog) virtualių resursų užsakymui, šablonai (blueprints), automatizuotos darbo eigos (workflows), politikomis paremta valdysena (approval/policy) ir integracija per API. Privalo būti palaikomas „day-2“ automatizavimas (keitimai, mastelio didinimas/mažinimas, atitikties veiksmai).</w:t>
            </w:r>
          </w:p>
        </w:tc>
        <w:tc>
          <w:tcPr>
            <w:tcW w:w="1449" w:type="pct"/>
            <w:tcBorders>
              <w:top w:val="single" w:sz="4" w:space="0" w:color="auto"/>
              <w:left w:val="single" w:sz="4" w:space="0" w:color="auto"/>
              <w:bottom w:val="single" w:sz="4" w:space="0" w:color="auto"/>
              <w:right w:val="single" w:sz="4" w:space="0" w:color="auto"/>
            </w:tcBorders>
          </w:tcPr>
          <w:p w14:paraId="53958D97"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301F8D30"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97490C5"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07E2D240"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Centralizuotas žurnalų (log) surinkimas ir analizė</w:t>
            </w:r>
          </w:p>
          <w:p w14:paraId="23A89E52" w14:textId="77777777" w:rsidR="00322315" w:rsidRPr="0056752C" w:rsidRDefault="00322315" w:rsidP="006D50DF">
            <w:pPr>
              <w:spacing w:after="120" w:line="240" w:lineRule="auto"/>
              <w:rPr>
                <w:rFonts w:asciiTheme="minorHAnsi" w:hAnsiTheme="minorHAnsi" w:cstheme="minorHAnsi"/>
                <w:sz w:val="20"/>
                <w:szCs w:val="20"/>
                <w:lang w:val="lt-LT"/>
              </w:rPr>
            </w:pPr>
          </w:p>
        </w:tc>
        <w:tc>
          <w:tcPr>
            <w:tcW w:w="2247" w:type="pct"/>
            <w:tcBorders>
              <w:top w:val="nil"/>
              <w:left w:val="nil"/>
              <w:bottom w:val="single" w:sz="4" w:space="0" w:color="auto"/>
              <w:right w:val="single" w:sz="8" w:space="0" w:color="auto"/>
            </w:tcBorders>
            <w:shd w:val="clear" w:color="auto" w:fill="FFFFFF" w:themeFill="background1"/>
          </w:tcPr>
          <w:p w14:paraId="16CE64B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centralizuotas infrastruktūros ir darbo apkrovų žurnalų surinkimas, paieška, filtravimas, koreliacija ir įspėjimai. Privalo būti numatytas log retention, archyvavimo galimybės ir prieigos kontrolė (RBAC).</w:t>
            </w:r>
          </w:p>
        </w:tc>
        <w:tc>
          <w:tcPr>
            <w:tcW w:w="1449" w:type="pct"/>
            <w:tcBorders>
              <w:top w:val="single" w:sz="4" w:space="0" w:color="auto"/>
              <w:left w:val="single" w:sz="4" w:space="0" w:color="auto"/>
              <w:bottom w:val="single" w:sz="4" w:space="0" w:color="auto"/>
              <w:right w:val="single" w:sz="4" w:space="0" w:color="auto"/>
            </w:tcBorders>
          </w:tcPr>
          <w:p w14:paraId="06F996EC"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01AA2387"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45783FC8"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nil"/>
              <w:bottom w:val="single" w:sz="4" w:space="0" w:color="auto"/>
              <w:right w:val="single" w:sz="8" w:space="0" w:color="auto"/>
            </w:tcBorders>
            <w:shd w:val="clear" w:color="auto" w:fill="FFFFFF" w:themeFill="background1"/>
            <w:noWrap/>
          </w:tcPr>
          <w:p w14:paraId="3133B13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Tinklo matomumas ir srautų analitika</w:t>
            </w:r>
          </w:p>
        </w:tc>
        <w:tc>
          <w:tcPr>
            <w:tcW w:w="2247" w:type="pct"/>
            <w:tcBorders>
              <w:top w:val="single" w:sz="4" w:space="0" w:color="auto"/>
              <w:left w:val="nil"/>
              <w:bottom w:val="single" w:sz="8" w:space="0" w:color="auto"/>
              <w:right w:val="single" w:sz="8" w:space="0" w:color="auto"/>
            </w:tcBorders>
            <w:shd w:val="clear" w:color="auto" w:fill="FFFFFF" w:themeFill="background1"/>
          </w:tcPr>
          <w:p w14:paraId="2722C22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suteiktas srautų (flow) matomumas tarp darbo apkrovų (east-west ir north-south), ryšio problemų diagnostika, našumo įžvalgos ir priklausomybių (dependency) analizė be agentų diegimo į darbo apkrovas.</w:t>
            </w:r>
          </w:p>
        </w:tc>
        <w:tc>
          <w:tcPr>
            <w:tcW w:w="1449" w:type="pct"/>
            <w:tcBorders>
              <w:top w:val="single" w:sz="4" w:space="0" w:color="auto"/>
              <w:left w:val="single" w:sz="4" w:space="0" w:color="auto"/>
              <w:bottom w:val="single" w:sz="4" w:space="0" w:color="auto"/>
              <w:right w:val="single" w:sz="4" w:space="0" w:color="auto"/>
            </w:tcBorders>
          </w:tcPr>
          <w:p w14:paraId="7B803CD1"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6B27715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721A06C"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nil"/>
              <w:bottom w:val="single" w:sz="8" w:space="0" w:color="auto"/>
              <w:right w:val="single" w:sz="8" w:space="0" w:color="auto"/>
            </w:tcBorders>
            <w:shd w:val="clear" w:color="auto" w:fill="FFFFFF" w:themeFill="background1"/>
            <w:noWrap/>
          </w:tcPr>
          <w:p w14:paraId="601439C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Integruota modernių aplikacijų vykdymo aplinka</w:t>
            </w:r>
          </w:p>
        </w:tc>
        <w:tc>
          <w:tcPr>
            <w:tcW w:w="2247" w:type="pct"/>
            <w:tcBorders>
              <w:top w:val="nil"/>
              <w:left w:val="nil"/>
              <w:bottom w:val="single" w:sz="8" w:space="0" w:color="auto"/>
              <w:right w:val="single" w:sz="8" w:space="0" w:color="auto"/>
            </w:tcBorders>
            <w:shd w:val="clear" w:color="auto" w:fill="FFFFFF" w:themeFill="background1"/>
          </w:tcPr>
          <w:p w14:paraId="02F99E47"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Sprendimas privalo suteikti integruotą konteinerizuotų aplikacijų vykdymo aplinką ant tos pačios platformos, leidžiančią valdyti tiek virtualias mašinas, tiek konteinerizuotas darbo apkrovas vieningai (vartotojų teisės, tinklo taisyklės, stebėsena, resursų politika).</w:t>
            </w:r>
          </w:p>
        </w:tc>
        <w:tc>
          <w:tcPr>
            <w:tcW w:w="1449" w:type="pct"/>
            <w:tcBorders>
              <w:top w:val="single" w:sz="4" w:space="0" w:color="auto"/>
              <w:left w:val="single" w:sz="4" w:space="0" w:color="auto"/>
              <w:bottom w:val="single" w:sz="4" w:space="0" w:color="auto"/>
              <w:right w:val="single" w:sz="4" w:space="0" w:color="auto"/>
            </w:tcBorders>
          </w:tcPr>
          <w:p w14:paraId="3D39BD7E"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488A2AB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3346DB9"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nil"/>
              <w:left w:val="nil"/>
              <w:bottom w:val="single" w:sz="8" w:space="0" w:color="auto"/>
              <w:right w:val="single" w:sz="8" w:space="0" w:color="auto"/>
            </w:tcBorders>
            <w:shd w:val="clear" w:color="auto" w:fill="FFFFFF" w:themeFill="background1"/>
            <w:noWrap/>
          </w:tcPr>
          <w:p w14:paraId="6D623EE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Dviejų duomenų centrų scenarijai su sinchronine SAN replikacija</w:t>
            </w:r>
          </w:p>
        </w:tc>
        <w:tc>
          <w:tcPr>
            <w:tcW w:w="2247" w:type="pct"/>
            <w:tcBorders>
              <w:top w:val="nil"/>
              <w:left w:val="nil"/>
              <w:bottom w:val="single" w:sz="8" w:space="0" w:color="auto"/>
              <w:right w:val="single" w:sz="8" w:space="0" w:color="auto"/>
            </w:tcBorders>
            <w:shd w:val="clear" w:color="auto" w:fill="FFFFFF" w:themeFill="background1"/>
          </w:tcPr>
          <w:p w14:paraId="6D14F97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Sprendimas privalo būti suderinamas su architektūra: 2 duomenų centrai, 2 klasteriai, 1 centralizuotas valdymas, iSCSI SAN saugyklos kiekviename DC, sinchroniškai replikuojant LUN’us tarp masyvų. Privalo būti palaikomas numatomas veikimas gedimų ir „failover“ scenarijuose, atsižvelgiant į gamintojo rekomendacijas dėl metro/stretched topologijų (įskaitant tinklo latencijos ir „split-brain“ prevencijos reikalavimus).</w:t>
            </w:r>
          </w:p>
        </w:tc>
        <w:tc>
          <w:tcPr>
            <w:tcW w:w="1449" w:type="pct"/>
            <w:tcBorders>
              <w:top w:val="single" w:sz="4" w:space="0" w:color="auto"/>
              <w:left w:val="single" w:sz="4" w:space="0" w:color="auto"/>
              <w:bottom w:val="single" w:sz="4" w:space="0" w:color="auto"/>
              <w:right w:val="single" w:sz="4" w:space="0" w:color="auto"/>
            </w:tcBorders>
          </w:tcPr>
          <w:p w14:paraId="58B23AE4"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5F756A88"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796CD21"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6F4872D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Centralizuotas virtualizavimo programinės įrangos valdymo serveris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496A3B5B"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Centralizuotas virtualizavimo programinės įrangos valdymo serveris privalo būti suderinamas su siūloma virtualizacijos programine įranga.</w:t>
            </w:r>
            <w:r w:rsidRPr="0056752C">
              <w:rPr>
                <w:rFonts w:asciiTheme="minorHAnsi" w:hAnsiTheme="minorHAnsi" w:cstheme="minorHAnsi"/>
                <w:sz w:val="20"/>
                <w:szCs w:val="20"/>
                <w:lang w:val="lt-LT"/>
              </w:rPr>
              <w:br/>
              <w:t>Centralizuotas valdymo serveris privalo palaikyti visą siūlomos virtualizacijos programinės įrangos funkcionalumo valdymą, įskaitant:</w:t>
            </w:r>
          </w:p>
          <w:p w14:paraId="0B73F425" w14:textId="77777777" w:rsidR="00322315" w:rsidRPr="0056752C" w:rsidRDefault="00322315" w:rsidP="00322315">
            <w:pPr>
              <w:numPr>
                <w:ilvl w:val="0"/>
                <w:numId w:val="15"/>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lastRenderedPageBreak/>
              <w:t>virtualių tarnybinių stočių (VM) kūrimą, konfigūravimą, paleidimą, stabdymą, migravimą ir šalinimą;</w:t>
            </w:r>
          </w:p>
          <w:p w14:paraId="7A69D9FF" w14:textId="77777777" w:rsidR="00322315" w:rsidRPr="0056752C" w:rsidRDefault="00322315" w:rsidP="00322315">
            <w:pPr>
              <w:numPr>
                <w:ilvl w:val="0"/>
                <w:numId w:val="15"/>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fizinių host’ų ir klasterio konfigūravimą bei valdymą;</w:t>
            </w:r>
          </w:p>
          <w:p w14:paraId="49DD126F" w14:textId="77777777" w:rsidR="00322315" w:rsidRPr="0056752C" w:rsidRDefault="00322315" w:rsidP="00322315">
            <w:pPr>
              <w:numPr>
                <w:ilvl w:val="0"/>
                <w:numId w:val="15"/>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centralizuotą sąsają, iš kurios galima konfigūruoti, prižiūrėti ir administruoti visus virtualioje infrastruktūroje esančius virtualius komutatorius/tinklus;</w:t>
            </w:r>
          </w:p>
          <w:p w14:paraId="4118FD7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prieigos teises ir vaidmenis (RBAC) virtualizacijos objektų lygiu.</w:t>
            </w:r>
          </w:p>
        </w:tc>
        <w:tc>
          <w:tcPr>
            <w:tcW w:w="1449" w:type="pct"/>
            <w:tcBorders>
              <w:top w:val="single" w:sz="4" w:space="0" w:color="auto"/>
              <w:left w:val="single" w:sz="4" w:space="0" w:color="auto"/>
              <w:bottom w:val="single" w:sz="4" w:space="0" w:color="auto"/>
              <w:right w:val="single" w:sz="4" w:space="0" w:color="auto"/>
            </w:tcBorders>
          </w:tcPr>
          <w:p w14:paraId="76C0D9EE"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285633F9"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3684D2FA"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209E860E"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Centralizuoto virtualizavimo programinės įrangos valdymo serverio aukšto patikimumo užtikrinimas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7C899AA1"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Centralizuotas valdymo serveris privalo palaikyti gamintojo aukšto patikimumo sprendimą, užtikrinantį automatinį valdymo serverio veiklos pratęsimą pagrindinio valdymo serverio praradimo atveju.</w:t>
            </w:r>
            <w:r w:rsidRPr="0056752C">
              <w:rPr>
                <w:rFonts w:asciiTheme="minorHAnsi" w:hAnsiTheme="minorHAnsi" w:cstheme="minorHAnsi"/>
                <w:sz w:val="20"/>
                <w:szCs w:val="20"/>
                <w:lang w:val="lt-LT"/>
              </w:rPr>
              <w:br/>
              <w:t>Papildomai:</w:t>
            </w:r>
          </w:p>
          <w:p w14:paraId="45FE00A2" w14:textId="77777777" w:rsidR="00322315" w:rsidRPr="0056752C" w:rsidRDefault="00322315" w:rsidP="00322315">
            <w:pPr>
              <w:numPr>
                <w:ilvl w:val="0"/>
                <w:numId w:val="11"/>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numatytas automatinis persijungimas (failover) be rankinio įsikišimo;</w:t>
            </w:r>
          </w:p>
          <w:p w14:paraId="3C6B214A" w14:textId="77777777" w:rsidR="00322315" w:rsidRPr="0056752C" w:rsidRDefault="00322315" w:rsidP="00322315">
            <w:pPr>
              <w:numPr>
                <w:ilvl w:val="0"/>
                <w:numId w:val="11"/>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aiškiai aprašomi reikalavimai valdymo serverio mazgų topologijai ir duomenų nuoseklumui</w:t>
            </w:r>
          </w:p>
        </w:tc>
        <w:tc>
          <w:tcPr>
            <w:tcW w:w="1449" w:type="pct"/>
            <w:tcBorders>
              <w:top w:val="single" w:sz="4" w:space="0" w:color="auto"/>
              <w:left w:val="single" w:sz="4" w:space="0" w:color="auto"/>
              <w:bottom w:val="single" w:sz="4" w:space="0" w:color="auto"/>
              <w:right w:val="single" w:sz="4" w:space="0" w:color="auto"/>
            </w:tcBorders>
          </w:tcPr>
          <w:p w14:paraId="74E8F6EF"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4B18D77D"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0E14A8C2"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499AD10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Centralizuoto virtualizavimo programinės įrangos valdymo serverio atsarginio kopijavimo ir atstatymo užtikrinimas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5351B602"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Centralizuotas valdymo serveris privalo palaikyti rezervinių kopijų darymą ir atstatymą be papildomos trečiųjų šalių programinės įrangos, su galimybe konfigūruoti atsarginių kopijų dažnumą:</w:t>
            </w:r>
          </w:p>
          <w:p w14:paraId="00C05AF9" w14:textId="77777777" w:rsidR="00322315" w:rsidRPr="0056752C" w:rsidRDefault="00322315" w:rsidP="00322315">
            <w:pPr>
              <w:numPr>
                <w:ilvl w:val="0"/>
                <w:numId w:val="10"/>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atsarginės kopijos privalo būti daromos į nurodytą išorinę saugyklą (SMB/NFS/SFTP tipo arba kitas standartinis saugojimo būdas);</w:t>
            </w:r>
          </w:p>
          <w:p w14:paraId="6E6EB9AD" w14:textId="77777777" w:rsidR="00322315" w:rsidRPr="0056752C" w:rsidRDefault="00322315" w:rsidP="00322315">
            <w:pPr>
              <w:numPr>
                <w:ilvl w:val="0"/>
                <w:numId w:val="10"/>
              </w:num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galimybė atlikti pilną atstatymą po gedimo ir atstatymo patikrinimą (restore validation);</w:t>
            </w:r>
          </w:p>
          <w:p w14:paraId="28D61D0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atsarginės kopijos privalo palaikyti šifravimą ir prieigos kontrolę </w:t>
            </w:r>
          </w:p>
        </w:tc>
        <w:tc>
          <w:tcPr>
            <w:tcW w:w="1449" w:type="pct"/>
            <w:tcBorders>
              <w:top w:val="single" w:sz="4" w:space="0" w:color="auto"/>
              <w:left w:val="single" w:sz="4" w:space="0" w:color="auto"/>
              <w:bottom w:val="single" w:sz="4" w:space="0" w:color="auto"/>
              <w:right w:val="single" w:sz="4" w:space="0" w:color="auto"/>
            </w:tcBorders>
          </w:tcPr>
          <w:p w14:paraId="39249299"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7A14084D"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130FC36F"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5EC937D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Virtualių darbo stočių integracija su trečių šalių antivirusine programine įranga </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686F1322" w14:textId="77777777" w:rsidR="00322315" w:rsidRPr="0056752C" w:rsidRDefault="00322315" w:rsidP="006D50DF">
            <w:pPr>
              <w:spacing w:after="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Centralizuotas valdymo serveris privalo suteikti integracijos galimybes su trečiųjų šalių antivirusine (Anti-Virus/Anti-Malware) programine įranga ir užtikrinti virtualių tarnybinių stočių apsaugos/įvykių valdymo integraciją centralizuotai:</w:t>
            </w:r>
          </w:p>
          <w:p w14:paraId="083DE0C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agentless skanavimas (be agentų VM viduje) privalo būti įgyvendinamas per virtualizacijos platformos integracijos mechanizmus (hipervizoriaus/virtualizacijos sluoksnio lygmenyje), o valdymo serveris privalo suteikti centralizuotą konfigūravimą, politikų taikymą ir būsenų matomumą.</w:t>
            </w:r>
          </w:p>
        </w:tc>
        <w:tc>
          <w:tcPr>
            <w:tcW w:w="1449" w:type="pct"/>
            <w:tcBorders>
              <w:top w:val="single" w:sz="4" w:space="0" w:color="auto"/>
              <w:left w:val="single" w:sz="4" w:space="0" w:color="auto"/>
              <w:bottom w:val="single" w:sz="4" w:space="0" w:color="auto"/>
              <w:right w:val="single" w:sz="4" w:space="0" w:color="auto"/>
            </w:tcBorders>
          </w:tcPr>
          <w:p w14:paraId="48E45169"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1D4B10C1"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D8F6609"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314A4F0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Autentifikacija ir prieigos valdymas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0AC748DE"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Privalo palaikyti integraciją su organizacijos tapatybės valdymu (katalogų paslaugomis), daugiafaktorinę autentifikaciją (MFA), rolėmis paremtą prieigos kontrolę (RBAC) ir atskirų administravimo sričių delegavimą.</w:t>
            </w:r>
          </w:p>
        </w:tc>
        <w:tc>
          <w:tcPr>
            <w:tcW w:w="1449" w:type="pct"/>
            <w:tcBorders>
              <w:top w:val="single" w:sz="4" w:space="0" w:color="auto"/>
              <w:left w:val="single" w:sz="4" w:space="0" w:color="auto"/>
              <w:bottom w:val="single" w:sz="4" w:space="0" w:color="auto"/>
              <w:right w:val="single" w:sz="4" w:space="0" w:color="auto"/>
            </w:tcBorders>
          </w:tcPr>
          <w:p w14:paraId="1A432765"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19F7FA5B"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3CE8564"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04E03FE6"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Auditas ir veiksmų atsekamumas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2A00039E"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Privalo turėti audito žurnalus (kas, kada, ką pakeitė), galimybę eksportuoti auditą ir integruotis su centralizuota žurnalų sistema (SIEM/log management).</w:t>
            </w:r>
          </w:p>
        </w:tc>
        <w:tc>
          <w:tcPr>
            <w:tcW w:w="1449" w:type="pct"/>
            <w:tcBorders>
              <w:top w:val="single" w:sz="4" w:space="0" w:color="auto"/>
              <w:left w:val="single" w:sz="4" w:space="0" w:color="auto"/>
              <w:bottom w:val="single" w:sz="4" w:space="0" w:color="auto"/>
              <w:right w:val="single" w:sz="4" w:space="0" w:color="auto"/>
            </w:tcBorders>
          </w:tcPr>
          <w:p w14:paraId="5D978C8E"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5AC2E7C0"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594C3592"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5BB00AF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API (programavimo sąsaja) ir automatizavimas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0BA07E6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Privalo suteikti dokumentuotas API sąsajas administravimui ir automatizavimui (provisioning, konfigūracijų keitimai, inventorizacija, ataskaitos), taip pat palaikyti automatizuotas darbo eigas (workflows).</w:t>
            </w:r>
          </w:p>
        </w:tc>
        <w:tc>
          <w:tcPr>
            <w:tcW w:w="1449" w:type="pct"/>
            <w:tcBorders>
              <w:top w:val="single" w:sz="4" w:space="0" w:color="auto"/>
              <w:left w:val="single" w:sz="4" w:space="0" w:color="auto"/>
              <w:bottom w:val="single" w:sz="4" w:space="0" w:color="auto"/>
              <w:right w:val="single" w:sz="4" w:space="0" w:color="auto"/>
            </w:tcBorders>
          </w:tcPr>
          <w:p w14:paraId="271E918F"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2B097188"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02419190"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2879E88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Sertifikatų ir šifravimo valdymas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67D95044" w14:textId="77777777" w:rsidR="00322315" w:rsidRPr="0056752C" w:rsidRDefault="00322315" w:rsidP="006D50DF">
            <w:pPr>
              <w:spacing w:after="0" w:line="240" w:lineRule="auto"/>
              <w:rPr>
                <w:rFonts w:asciiTheme="minorHAnsi" w:hAnsiTheme="minorHAnsi" w:cstheme="minorHAnsi"/>
                <w:kern w:val="2"/>
                <w:sz w:val="20"/>
                <w:szCs w:val="20"/>
                <w:bdr w:val="none" w:sz="0" w:space="0" w:color="auto" w:frame="1"/>
                <w:lang w:val="lt-LT" w:eastAsia="lt-LT"/>
                <w14:ligatures w14:val="standardContextual"/>
              </w:rPr>
            </w:pPr>
            <w:r w:rsidRPr="0056752C">
              <w:rPr>
                <w:rFonts w:asciiTheme="minorHAnsi" w:hAnsiTheme="minorHAnsi" w:cstheme="minorHAnsi"/>
                <w:kern w:val="2"/>
                <w:sz w:val="20"/>
                <w:szCs w:val="20"/>
                <w:bdr w:val="none" w:sz="0" w:space="0" w:color="auto" w:frame="1"/>
                <w:lang w:val="lt-LT" w:eastAsia="lt-LT"/>
                <w14:ligatures w14:val="standardContextual"/>
              </w:rPr>
              <w:t>Privalo palaikyti sertifikatų valdymą (įskaitant keitimą/rotaciją), saugius šifravimo protokolus ryšiui su klientais ir komponentais, bei galimybę įgyvendinti saugumo konfigūracijas pagal organizacijos politiką.</w:t>
            </w:r>
          </w:p>
          <w:p w14:paraId="16E9226A" w14:textId="77777777" w:rsidR="00322315" w:rsidRPr="0056752C" w:rsidRDefault="00322315" w:rsidP="006D50DF">
            <w:pPr>
              <w:spacing w:after="120" w:line="240" w:lineRule="auto"/>
              <w:rPr>
                <w:rFonts w:asciiTheme="minorHAnsi" w:hAnsiTheme="minorHAnsi" w:cstheme="minorHAnsi"/>
                <w:sz w:val="20"/>
                <w:szCs w:val="20"/>
                <w:lang w:val="lt-LT"/>
              </w:rPr>
            </w:pPr>
          </w:p>
        </w:tc>
        <w:tc>
          <w:tcPr>
            <w:tcW w:w="1449" w:type="pct"/>
            <w:tcBorders>
              <w:top w:val="single" w:sz="4" w:space="0" w:color="auto"/>
              <w:left w:val="single" w:sz="4" w:space="0" w:color="auto"/>
              <w:bottom w:val="single" w:sz="4" w:space="0" w:color="auto"/>
              <w:right w:val="single" w:sz="4" w:space="0" w:color="auto"/>
            </w:tcBorders>
          </w:tcPr>
          <w:p w14:paraId="08D9EA98"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7C310C9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24553D9C"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75293CEB"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Konfigūracijų atsparumas ir atstatymas po incidentų</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4A130CD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Privalo būti galimybė atkurti valdymo serverį po kritinio gedimo ar kibernetinio incidento iš atsarginės kopijos, išlaikant inventorizaciją, teises, politikų konfigūraciją ir istorinius įvykius (kiek tai techniškai pagrįsta).</w:t>
            </w:r>
          </w:p>
        </w:tc>
        <w:tc>
          <w:tcPr>
            <w:tcW w:w="1449" w:type="pct"/>
            <w:tcBorders>
              <w:top w:val="single" w:sz="4" w:space="0" w:color="auto"/>
              <w:left w:val="single" w:sz="4" w:space="0" w:color="auto"/>
              <w:bottom w:val="single" w:sz="4" w:space="0" w:color="auto"/>
              <w:right w:val="single" w:sz="4" w:space="0" w:color="auto"/>
            </w:tcBorders>
          </w:tcPr>
          <w:p w14:paraId="57E1601D"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7BCD545E"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00BD6882"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7D5F00B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Vientisas gyvavimo ciklo valdymas (valdymo komponentams)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40AC57B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Privalo būti palaikomos suderinamumo patikros prieš atnaujinimus, automatizuotas atnaujinimų taikymas valdymo komponentams ir galimybė sumažinti planuojamų atnaujinimų prastovas (downtime), įskaitant kritinių pataisų taikymą minimaliai trikdant paslaugą.</w:t>
            </w:r>
          </w:p>
        </w:tc>
        <w:tc>
          <w:tcPr>
            <w:tcW w:w="1449" w:type="pct"/>
            <w:tcBorders>
              <w:top w:val="single" w:sz="4" w:space="0" w:color="auto"/>
              <w:left w:val="single" w:sz="4" w:space="0" w:color="auto"/>
              <w:bottom w:val="single" w:sz="4" w:space="0" w:color="auto"/>
              <w:right w:val="single" w:sz="4" w:space="0" w:color="auto"/>
            </w:tcBorders>
          </w:tcPr>
          <w:p w14:paraId="2EAE9D17"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3EBB4562"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0F2A9243"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8" w:space="0" w:color="auto"/>
              <w:left w:val="single" w:sz="8" w:space="0" w:color="auto"/>
              <w:bottom w:val="single" w:sz="8" w:space="0" w:color="auto"/>
              <w:right w:val="single" w:sz="8" w:space="0" w:color="auto"/>
            </w:tcBorders>
            <w:shd w:val="clear" w:color="auto" w:fill="FFFFFF" w:themeFill="background1"/>
            <w:noWrap/>
          </w:tcPr>
          <w:p w14:paraId="6F39CE6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kern w:val="2"/>
                <w:sz w:val="20"/>
                <w:szCs w:val="20"/>
                <w:bdr w:val="none" w:sz="0" w:space="0" w:color="auto" w:frame="1"/>
                <w:lang w:val="lt-LT" w:eastAsia="lt-LT"/>
                <w14:ligatures w14:val="standardContextual"/>
              </w:rPr>
              <w:t>Stebėsenos ir licencijų valdymas</w:t>
            </w:r>
          </w:p>
        </w:tc>
        <w:tc>
          <w:tcPr>
            <w:tcW w:w="2247" w:type="pct"/>
            <w:tcBorders>
              <w:top w:val="single" w:sz="8" w:space="0" w:color="auto"/>
              <w:left w:val="single" w:sz="8" w:space="0" w:color="auto"/>
              <w:bottom w:val="single" w:sz="8" w:space="0" w:color="auto"/>
              <w:right w:val="single" w:sz="8" w:space="0" w:color="auto"/>
            </w:tcBorders>
            <w:shd w:val="clear" w:color="auto" w:fill="FFFFFF" w:themeFill="background1"/>
          </w:tcPr>
          <w:p w14:paraId="17B06338" w14:textId="77777777" w:rsidR="00322315" w:rsidRPr="0056752C" w:rsidRDefault="00322315" w:rsidP="006D50DF">
            <w:pPr>
              <w:spacing w:after="0" w:line="240" w:lineRule="auto"/>
              <w:rPr>
                <w:rFonts w:asciiTheme="minorHAnsi" w:hAnsiTheme="minorHAnsi" w:cstheme="minorHAnsi"/>
                <w:kern w:val="2"/>
                <w:sz w:val="20"/>
                <w:szCs w:val="20"/>
                <w:bdr w:val="none" w:sz="0" w:space="0" w:color="auto" w:frame="1"/>
                <w:lang w:val="lt-LT" w:eastAsia="lt-LT"/>
                <w14:ligatures w14:val="standardContextual"/>
              </w:rPr>
            </w:pPr>
            <w:r w:rsidRPr="0056752C">
              <w:rPr>
                <w:rFonts w:asciiTheme="minorHAnsi" w:hAnsiTheme="minorHAnsi" w:cstheme="minorHAnsi"/>
                <w:kern w:val="2"/>
                <w:sz w:val="20"/>
                <w:szCs w:val="20"/>
                <w:bdr w:val="none" w:sz="0" w:space="0" w:color="auto" w:frame="1"/>
                <w:lang w:val="lt-LT" w:eastAsia="lt-LT"/>
                <w14:ligatures w14:val="standardContextual"/>
              </w:rPr>
              <w:t>Privalo būti centralizuotas infrastruktūros stebėsenos sprendimas, skirtas Host serverių, virtualių mašinų, klasterio ir duomenų saugyklų būklės bei našumo stebėsenai:</w:t>
            </w:r>
          </w:p>
          <w:p w14:paraId="64DB237F" w14:textId="77777777" w:rsidR="00322315" w:rsidRPr="0056752C" w:rsidRDefault="00322315" w:rsidP="00322315">
            <w:pPr>
              <w:numPr>
                <w:ilvl w:val="0"/>
                <w:numId w:val="10"/>
              </w:numPr>
              <w:spacing w:after="0" w:line="240" w:lineRule="auto"/>
              <w:rPr>
                <w:rFonts w:asciiTheme="minorHAnsi" w:eastAsiaTheme="minorEastAsia" w:hAnsiTheme="minorHAnsi" w:cstheme="minorHAnsi"/>
                <w:kern w:val="2"/>
                <w:sz w:val="20"/>
                <w:szCs w:val="20"/>
                <w:bdr w:val="none" w:sz="0" w:space="0" w:color="auto" w:frame="1"/>
                <w:lang w:val="lt-LT" w:eastAsia="lt-LT"/>
                <w14:ligatures w14:val="standardContextual"/>
              </w:rPr>
            </w:pPr>
            <w:r w:rsidRPr="0056752C">
              <w:rPr>
                <w:rFonts w:asciiTheme="minorHAnsi" w:hAnsiTheme="minorHAnsi" w:cstheme="minorHAnsi"/>
                <w:kern w:val="2"/>
                <w:sz w:val="20"/>
                <w:szCs w:val="20"/>
                <w:bdr w:val="none" w:sz="0" w:space="0" w:color="auto" w:frame="1"/>
                <w:lang w:val="lt-LT" w:eastAsia="lt-LT"/>
                <w14:ligatures w14:val="standardContextual"/>
              </w:rPr>
              <w:t xml:space="preserve">Privalo palaikyti realaus laiko ir istorinės informacijos rinkimą apie procesorių, operatyviosios atminties, diskų ir tinklo resursų panaudojimą. </w:t>
            </w:r>
          </w:p>
          <w:p w14:paraId="45EDBC44" w14:textId="77777777" w:rsidR="00322315" w:rsidRPr="0056752C" w:rsidRDefault="00322315" w:rsidP="00322315">
            <w:pPr>
              <w:numPr>
                <w:ilvl w:val="0"/>
                <w:numId w:val="10"/>
              </w:numPr>
              <w:spacing w:after="0" w:line="240" w:lineRule="auto"/>
              <w:rPr>
                <w:rFonts w:asciiTheme="minorHAnsi" w:hAnsiTheme="minorHAnsi" w:cstheme="minorHAnsi"/>
                <w:kern w:val="2"/>
                <w:sz w:val="20"/>
                <w:szCs w:val="20"/>
                <w:bdr w:val="none" w:sz="0" w:space="0" w:color="auto" w:frame="1"/>
                <w:lang w:val="lt-LT" w:eastAsia="lt-LT"/>
                <w14:ligatures w14:val="standardContextual"/>
              </w:rPr>
            </w:pPr>
            <w:r w:rsidRPr="0056752C">
              <w:rPr>
                <w:rFonts w:asciiTheme="minorHAnsi" w:hAnsiTheme="minorHAnsi" w:cstheme="minorHAnsi"/>
                <w:kern w:val="2"/>
                <w:sz w:val="20"/>
                <w:szCs w:val="20"/>
                <w:bdr w:val="none" w:sz="0" w:space="0" w:color="auto" w:frame="1"/>
                <w:lang w:val="lt-LT" w:eastAsia="lt-LT"/>
                <w14:ligatures w14:val="standardContextual"/>
              </w:rPr>
              <w:t>Privalo suteikti infrastruktūros našumo, rizikų ir talpos planavimo analizę bei prognozes.</w:t>
            </w:r>
          </w:p>
          <w:p w14:paraId="4C5C6394" w14:textId="77777777" w:rsidR="00322315" w:rsidRPr="0056752C" w:rsidRDefault="00322315" w:rsidP="00322315">
            <w:pPr>
              <w:numPr>
                <w:ilvl w:val="0"/>
                <w:numId w:val="10"/>
              </w:numPr>
              <w:spacing w:after="0" w:line="240" w:lineRule="auto"/>
              <w:rPr>
                <w:rFonts w:asciiTheme="minorHAnsi" w:hAnsiTheme="minorHAnsi" w:cstheme="minorHAnsi"/>
                <w:kern w:val="2"/>
                <w:sz w:val="20"/>
                <w:szCs w:val="20"/>
                <w:bdr w:val="none" w:sz="0" w:space="0" w:color="auto" w:frame="1"/>
                <w:lang w:val="lt-LT" w:eastAsia="lt-LT"/>
                <w14:ligatures w14:val="standardContextual"/>
              </w:rPr>
            </w:pPr>
            <w:r w:rsidRPr="0056752C">
              <w:rPr>
                <w:rFonts w:asciiTheme="minorHAnsi" w:hAnsiTheme="minorHAnsi" w:cstheme="minorHAnsi"/>
                <w:kern w:val="2"/>
                <w:sz w:val="20"/>
                <w:szCs w:val="20"/>
                <w:bdr w:val="none" w:sz="0" w:space="0" w:color="auto" w:frame="1"/>
                <w:lang w:val="lt-LT" w:eastAsia="lt-LT"/>
                <w14:ligatures w14:val="standardContextual"/>
              </w:rPr>
              <w:t>Privalo turėti licencijų naudojimo stebėsenos funkcionalumą, leidžiantį matyti licencijų vartojimą ir galimas neatitiktis.</w:t>
            </w:r>
          </w:p>
          <w:p w14:paraId="0F650DAB" w14:textId="77777777" w:rsidR="00322315" w:rsidRPr="0056752C" w:rsidRDefault="00322315" w:rsidP="00322315">
            <w:pPr>
              <w:numPr>
                <w:ilvl w:val="0"/>
                <w:numId w:val="10"/>
              </w:numPr>
              <w:spacing w:after="0" w:line="240" w:lineRule="auto"/>
              <w:rPr>
                <w:rFonts w:asciiTheme="minorHAnsi" w:hAnsiTheme="minorHAnsi" w:cstheme="minorHAnsi"/>
                <w:kern w:val="2"/>
                <w:sz w:val="20"/>
                <w:szCs w:val="20"/>
                <w:bdr w:val="none" w:sz="0" w:space="0" w:color="auto" w:frame="1"/>
                <w:lang w:val="lt-LT" w:eastAsia="lt-LT"/>
                <w14:ligatures w14:val="standardContextual"/>
              </w:rPr>
            </w:pPr>
            <w:r w:rsidRPr="0056752C">
              <w:rPr>
                <w:rFonts w:asciiTheme="minorHAnsi" w:hAnsiTheme="minorHAnsi" w:cstheme="minorHAnsi"/>
                <w:kern w:val="2"/>
                <w:sz w:val="20"/>
                <w:szCs w:val="20"/>
                <w:bdr w:val="none" w:sz="0" w:space="0" w:color="auto" w:frame="1"/>
                <w:lang w:val="lt-LT" w:eastAsia="lt-LT"/>
                <w14:ligatures w14:val="standardContextual"/>
              </w:rPr>
              <w:t>Privalo palaikyti integraciją su valdymo serveriu ir naudoti oficialias API.</w:t>
            </w:r>
          </w:p>
          <w:p w14:paraId="32CA17FD" w14:textId="77777777" w:rsidR="00322315" w:rsidRPr="0056752C" w:rsidRDefault="00322315" w:rsidP="00322315">
            <w:pPr>
              <w:numPr>
                <w:ilvl w:val="0"/>
                <w:numId w:val="10"/>
              </w:numPr>
              <w:spacing w:after="0" w:line="240" w:lineRule="auto"/>
              <w:rPr>
                <w:rFonts w:asciiTheme="minorHAnsi" w:hAnsiTheme="minorHAnsi" w:cstheme="minorHAnsi"/>
                <w:kern w:val="2"/>
                <w:sz w:val="20"/>
                <w:szCs w:val="20"/>
                <w:bdr w:val="none" w:sz="0" w:space="0" w:color="auto" w:frame="1"/>
                <w:lang w:val="lt-LT" w:eastAsia="lt-LT"/>
                <w14:ligatures w14:val="standardContextual"/>
              </w:rPr>
            </w:pPr>
            <w:r w:rsidRPr="0056752C">
              <w:rPr>
                <w:rFonts w:asciiTheme="minorHAnsi" w:hAnsiTheme="minorHAnsi" w:cstheme="minorHAnsi"/>
                <w:kern w:val="2"/>
                <w:sz w:val="20"/>
                <w:szCs w:val="20"/>
                <w:bdr w:val="none" w:sz="0" w:space="0" w:color="auto" w:frame="1"/>
                <w:lang w:val="lt-LT" w:eastAsia="lt-LT"/>
                <w14:ligatures w14:val="standardContextual"/>
              </w:rPr>
              <w:t>Privalo suteikti įspėjimų (alerts) ir ataskaitų generavimo funkcionalumą infrastruktūros būklės ir licencijų naudojimo stebėsenai.</w:t>
            </w:r>
          </w:p>
        </w:tc>
        <w:tc>
          <w:tcPr>
            <w:tcW w:w="1449" w:type="pct"/>
            <w:tcBorders>
              <w:top w:val="single" w:sz="4" w:space="0" w:color="auto"/>
              <w:left w:val="single" w:sz="4" w:space="0" w:color="auto"/>
              <w:bottom w:val="single" w:sz="4" w:space="0" w:color="auto"/>
              <w:right w:val="single" w:sz="4" w:space="0" w:color="auto"/>
            </w:tcBorders>
          </w:tcPr>
          <w:p w14:paraId="0E07079A"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10C4B8B1" w14:textId="77777777" w:rsidTr="003511A9">
        <w:trPr>
          <w:trHeight w:val="3750"/>
        </w:trPr>
        <w:tc>
          <w:tcPr>
            <w:tcW w:w="362" w:type="pct"/>
            <w:tcBorders>
              <w:top w:val="single" w:sz="4" w:space="0" w:color="auto"/>
              <w:left w:val="single" w:sz="4" w:space="0" w:color="auto"/>
              <w:bottom w:val="single" w:sz="4" w:space="0" w:color="auto"/>
              <w:right w:val="single" w:sz="4" w:space="0" w:color="auto"/>
            </w:tcBorders>
            <w:noWrap/>
          </w:tcPr>
          <w:p w14:paraId="3161A169"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097A06B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Virtualus tinklas ir operacijos</w:t>
            </w:r>
          </w:p>
        </w:tc>
        <w:tc>
          <w:tcPr>
            <w:tcW w:w="2247" w:type="pct"/>
            <w:tcBorders>
              <w:top w:val="single" w:sz="4" w:space="0" w:color="auto"/>
              <w:left w:val="single" w:sz="4" w:space="0" w:color="auto"/>
              <w:bottom w:val="single" w:sz="4" w:space="0" w:color="auto"/>
              <w:right w:val="single" w:sz="4" w:space="0" w:color="auto"/>
            </w:tcBorders>
          </w:tcPr>
          <w:p w14:paraId="295FB46E"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palaikomos šios savybės (įsigijus papildomas licencijas):</w:t>
            </w:r>
          </w:p>
          <w:p w14:paraId="5799AAAA" w14:textId="77777777" w:rsidR="00322315" w:rsidRPr="0056752C" w:rsidRDefault="00322315" w:rsidP="00322315">
            <w:pPr>
              <w:numPr>
                <w:ilvl w:val="0"/>
                <w:numId w:val="1"/>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Segment (L2)</w:t>
            </w:r>
            <w:r w:rsidRPr="0056752C">
              <w:rPr>
                <w:rFonts w:asciiTheme="minorHAnsi" w:hAnsiTheme="minorHAnsi" w:cstheme="minorHAnsi"/>
                <w:sz w:val="20"/>
                <w:szCs w:val="20"/>
                <w:lang w:val="lt-LT"/>
              </w:rPr>
              <w:t> – loginis L2 tinklas VM ir Pod’ams; privalo jungtis prie vartų (angl. Gateway, Tier-0 arba Tier-1).</w:t>
            </w:r>
          </w:p>
          <w:p w14:paraId="3D351945" w14:textId="77777777" w:rsidR="00322315" w:rsidRPr="0056752C" w:rsidRDefault="00322315" w:rsidP="00322315">
            <w:pPr>
              <w:numPr>
                <w:ilvl w:val="0"/>
                <w:numId w:val="1"/>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Tier-0 Gateway (T0)</w:t>
            </w:r>
            <w:r w:rsidRPr="0056752C">
              <w:rPr>
                <w:rFonts w:asciiTheme="minorHAnsi" w:hAnsiTheme="minorHAnsi" w:cstheme="minorHAnsi"/>
                <w:sz w:val="20"/>
                <w:szCs w:val="20"/>
                <w:lang w:val="lt-LT"/>
              </w:rPr>
              <w:t> – „šakniniai“ vartai, jungiantys virtualų tinklą su fiziniu tinklu; užtikrina north-south egress/ingress ryšį, palaiko BGP.</w:t>
            </w:r>
          </w:p>
          <w:p w14:paraId="391739EB" w14:textId="77777777" w:rsidR="00322315" w:rsidRPr="0056752C" w:rsidRDefault="00322315" w:rsidP="00322315">
            <w:pPr>
              <w:numPr>
                <w:ilvl w:val="0"/>
                <w:numId w:val="1"/>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Tier-1 Gateway (T1)</w:t>
            </w:r>
            <w:r w:rsidRPr="0056752C">
              <w:rPr>
                <w:rFonts w:asciiTheme="minorHAnsi" w:hAnsiTheme="minorHAnsi" w:cstheme="minorHAnsi"/>
                <w:sz w:val="20"/>
                <w:szCs w:val="20"/>
                <w:lang w:val="lt-LT"/>
              </w:rPr>
              <w:t> – tenant arba aplikacijų lygmens maršrutizavimas; jungiasi prie T0; naudojamas kaip aplikacijų segmentų numatyti vartai (default gateway).</w:t>
            </w:r>
          </w:p>
          <w:p w14:paraId="4B15BBA5" w14:textId="77777777" w:rsidR="00322315" w:rsidRPr="0056752C" w:rsidRDefault="00322315" w:rsidP="00322315">
            <w:pPr>
              <w:numPr>
                <w:ilvl w:val="0"/>
                <w:numId w:val="1"/>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 xml:space="preserve">Daugiasluoksnė (multitier) topologija – </w:t>
            </w:r>
            <w:r w:rsidRPr="0056752C">
              <w:rPr>
                <w:rFonts w:asciiTheme="minorHAnsi" w:hAnsiTheme="minorHAnsi" w:cstheme="minorHAnsi"/>
                <w:sz w:val="20"/>
                <w:szCs w:val="20"/>
                <w:lang w:val="lt-LT"/>
              </w:rPr>
              <w:t>T0 + T1, segmentai prijungti prie T1 (tipinis dizainas).</w:t>
            </w:r>
          </w:p>
        </w:tc>
        <w:tc>
          <w:tcPr>
            <w:tcW w:w="1449" w:type="pct"/>
            <w:tcBorders>
              <w:top w:val="single" w:sz="4" w:space="0" w:color="auto"/>
              <w:left w:val="single" w:sz="4" w:space="0" w:color="auto"/>
              <w:bottom w:val="single" w:sz="4" w:space="0" w:color="auto"/>
              <w:right w:val="single" w:sz="4" w:space="0" w:color="auto"/>
            </w:tcBorders>
          </w:tcPr>
          <w:p w14:paraId="1BCC8987"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48481688"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5EE1E10"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7B043BC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Tinklo funkcijos</w:t>
            </w:r>
          </w:p>
        </w:tc>
        <w:tc>
          <w:tcPr>
            <w:tcW w:w="2247" w:type="pct"/>
            <w:tcBorders>
              <w:top w:val="single" w:sz="4" w:space="0" w:color="auto"/>
              <w:left w:val="single" w:sz="4" w:space="0" w:color="auto"/>
              <w:bottom w:val="single" w:sz="4" w:space="0" w:color="auto"/>
              <w:right w:val="single" w:sz="4" w:space="0" w:color="auto"/>
            </w:tcBorders>
          </w:tcPr>
          <w:p w14:paraId="6C75433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palaikyti šias tinklo funkcijas (įsigijus papildomas licencijas):</w:t>
            </w:r>
          </w:p>
          <w:p w14:paraId="699F6DD0" w14:textId="77777777" w:rsidR="00322315" w:rsidRPr="0056752C" w:rsidRDefault="00322315" w:rsidP="00322315">
            <w:pPr>
              <w:numPr>
                <w:ilvl w:val="0"/>
                <w:numId w:val="13"/>
              </w:numPr>
              <w:spacing w:after="120" w:line="240" w:lineRule="auto"/>
              <w:rPr>
                <w:rFonts w:asciiTheme="minorHAnsi" w:hAnsiTheme="minorHAnsi" w:cstheme="minorHAnsi"/>
                <w:b/>
                <w:bCs/>
                <w:sz w:val="20"/>
                <w:szCs w:val="20"/>
                <w:lang w:val="lt-LT"/>
              </w:rPr>
            </w:pPr>
            <w:r w:rsidRPr="0056752C">
              <w:rPr>
                <w:rFonts w:asciiTheme="minorHAnsi" w:hAnsiTheme="minorHAnsi" w:cstheme="minorHAnsi"/>
                <w:b/>
                <w:bCs/>
                <w:sz w:val="20"/>
                <w:szCs w:val="20"/>
                <w:lang w:val="lt-LT"/>
              </w:rPr>
              <w:t xml:space="preserve">Logical Switching (overlay) – </w:t>
            </w:r>
            <w:r w:rsidRPr="0056752C">
              <w:rPr>
                <w:rFonts w:asciiTheme="minorHAnsi" w:hAnsiTheme="minorHAnsi" w:cstheme="minorHAnsi"/>
                <w:sz w:val="20"/>
                <w:szCs w:val="20"/>
                <w:lang w:val="lt-LT"/>
              </w:rPr>
              <w:t>L2 overlay virš L3 fabric (leidžia išplėsti L2 per maršrutizuotą fizinį tinklą).</w:t>
            </w:r>
          </w:p>
          <w:p w14:paraId="2444BBA0" w14:textId="77777777" w:rsidR="00322315" w:rsidRPr="0056752C" w:rsidRDefault="00322315" w:rsidP="00322315">
            <w:pPr>
              <w:numPr>
                <w:ilvl w:val="0"/>
                <w:numId w:val="13"/>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 xml:space="preserve">Routing (distributed + scale-out) – </w:t>
            </w:r>
            <w:r w:rsidRPr="0056752C">
              <w:rPr>
                <w:rFonts w:asciiTheme="minorHAnsi" w:hAnsiTheme="minorHAnsi" w:cstheme="minorHAnsi"/>
                <w:sz w:val="20"/>
                <w:szCs w:val="20"/>
                <w:lang w:val="lt-LT"/>
              </w:rPr>
              <w:t>paskirstytas maršrutizavimas hypervizoriuje + scale-out maršrutizavimas su active-active perjungimu į fizinius maršrutizatorius; palaiko statinius ir dinaminius maršrutizavimo protokolus bei IPv6.</w:t>
            </w:r>
          </w:p>
          <w:p w14:paraId="7BDEB4A6" w14:textId="77777777" w:rsidR="00322315" w:rsidRPr="0056752C" w:rsidRDefault="00322315" w:rsidP="00322315">
            <w:pPr>
              <w:numPr>
                <w:ilvl w:val="0"/>
                <w:numId w:val="13"/>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 xml:space="preserve">NSX Gateway (L2 bridging + L3 gateway) – </w:t>
            </w:r>
            <w:r w:rsidRPr="0056752C">
              <w:rPr>
                <w:rFonts w:asciiTheme="minorHAnsi" w:hAnsiTheme="minorHAnsi" w:cstheme="minorHAnsi"/>
                <w:sz w:val="20"/>
                <w:szCs w:val="20"/>
                <w:lang w:val="lt-LT"/>
              </w:rPr>
              <w:t>L2 tiltas tarp fizinio VLAN ir virtualių tinklų bei L3 vartai su dinaminiu maršrutizavimu.</w:t>
            </w:r>
          </w:p>
          <w:p w14:paraId="29C5481B" w14:textId="68F11C90" w:rsidR="00322315" w:rsidRPr="0056752C" w:rsidRDefault="00322315" w:rsidP="00322315">
            <w:pPr>
              <w:numPr>
                <w:ilvl w:val="0"/>
                <w:numId w:val="13"/>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 xml:space="preserve">VRF – </w:t>
            </w:r>
            <w:r w:rsidRPr="0056752C">
              <w:rPr>
                <w:rFonts w:asciiTheme="minorHAnsi" w:hAnsiTheme="minorHAnsi" w:cstheme="minorHAnsi"/>
                <w:sz w:val="20"/>
                <w:szCs w:val="20"/>
                <w:lang w:val="lt-LT"/>
              </w:rPr>
              <w:t>tenant duomenų izoliacija (atskiros maršrutizavimo lentelės, NAT, ).</w:t>
            </w:r>
          </w:p>
          <w:p w14:paraId="106BFAC5" w14:textId="77777777" w:rsidR="00322315" w:rsidRPr="0056752C" w:rsidRDefault="00322315" w:rsidP="00322315">
            <w:pPr>
              <w:numPr>
                <w:ilvl w:val="0"/>
                <w:numId w:val="13"/>
              </w:numPr>
              <w:spacing w:after="120" w:line="240" w:lineRule="auto"/>
              <w:rPr>
                <w:rFonts w:asciiTheme="minorHAnsi" w:hAnsiTheme="minorHAnsi" w:cstheme="minorHAnsi"/>
                <w:b/>
                <w:bCs/>
                <w:sz w:val="20"/>
                <w:szCs w:val="20"/>
                <w:lang w:val="lt-LT"/>
              </w:rPr>
            </w:pPr>
            <w:r w:rsidRPr="0056752C">
              <w:rPr>
                <w:rFonts w:asciiTheme="minorHAnsi" w:hAnsiTheme="minorHAnsi" w:cstheme="minorHAnsi"/>
                <w:b/>
                <w:bCs/>
                <w:sz w:val="20"/>
                <w:szCs w:val="20"/>
                <w:lang w:val="lt-LT"/>
              </w:rPr>
              <w:t xml:space="preserve">VPC (Virtual Private Cloud) – </w:t>
            </w:r>
            <w:r w:rsidRPr="0056752C">
              <w:rPr>
                <w:rFonts w:asciiTheme="minorHAnsi" w:hAnsiTheme="minorHAnsi" w:cstheme="minorHAnsi"/>
                <w:sz w:val="20"/>
                <w:szCs w:val="20"/>
                <w:lang w:val="lt-LT"/>
              </w:rPr>
              <w:t>izoliuotas „virtualios privačios debesijos“ modelis su RBAC, kvotomis ir savitarnos resursais.</w:t>
            </w:r>
          </w:p>
          <w:p w14:paraId="19800B92" w14:textId="77777777" w:rsidR="00322315" w:rsidRPr="0056752C" w:rsidRDefault="00322315" w:rsidP="00322315">
            <w:pPr>
              <w:numPr>
                <w:ilvl w:val="0"/>
                <w:numId w:val="13"/>
              </w:numPr>
              <w:spacing w:after="120" w:line="240" w:lineRule="auto"/>
              <w:rPr>
                <w:rFonts w:asciiTheme="minorHAnsi" w:hAnsiTheme="minorHAnsi" w:cstheme="minorHAnsi"/>
                <w:b/>
                <w:bCs/>
                <w:sz w:val="20"/>
                <w:szCs w:val="20"/>
                <w:lang w:val="lt-LT"/>
              </w:rPr>
            </w:pPr>
            <w:r w:rsidRPr="0056752C">
              <w:rPr>
                <w:rFonts w:asciiTheme="minorHAnsi" w:hAnsiTheme="minorHAnsi" w:cstheme="minorHAnsi"/>
                <w:b/>
                <w:bCs/>
                <w:sz w:val="20"/>
                <w:szCs w:val="20"/>
                <w:lang w:val="lt-LT"/>
              </w:rPr>
              <w:t xml:space="preserve">Transit Gateway (TGW) – </w:t>
            </w:r>
            <w:r w:rsidRPr="0056752C">
              <w:rPr>
                <w:rFonts w:asciiTheme="minorHAnsi" w:hAnsiTheme="minorHAnsi" w:cstheme="minorHAnsi"/>
                <w:sz w:val="20"/>
                <w:szCs w:val="20"/>
                <w:lang w:val="lt-LT"/>
              </w:rPr>
              <w:t>mazgas virtualios privačios debesijos (VPC) tarpusavio ir išorinei komunikacijai (paskirstytas arba centralizuotas režimas).</w:t>
            </w:r>
          </w:p>
          <w:p w14:paraId="604895C3" w14:textId="77777777" w:rsidR="00322315" w:rsidRPr="0056752C" w:rsidRDefault="00322315" w:rsidP="00322315">
            <w:pPr>
              <w:numPr>
                <w:ilvl w:val="0"/>
                <w:numId w:val="13"/>
              </w:numPr>
              <w:spacing w:after="120" w:line="240" w:lineRule="auto"/>
              <w:rPr>
                <w:rFonts w:asciiTheme="minorHAnsi" w:hAnsiTheme="minorHAnsi" w:cstheme="minorHAnsi"/>
                <w:b/>
                <w:bCs/>
                <w:sz w:val="20"/>
                <w:szCs w:val="20"/>
                <w:lang w:val="lt-LT"/>
              </w:rPr>
            </w:pPr>
            <w:r w:rsidRPr="0056752C">
              <w:rPr>
                <w:rFonts w:asciiTheme="minorHAnsi" w:hAnsiTheme="minorHAnsi" w:cstheme="minorHAnsi"/>
                <w:b/>
                <w:bCs/>
                <w:sz w:val="20"/>
                <w:szCs w:val="20"/>
                <w:lang w:val="lt-LT"/>
              </w:rPr>
              <w:t xml:space="preserve">VPN – </w:t>
            </w:r>
            <w:r w:rsidRPr="0056752C">
              <w:rPr>
                <w:rFonts w:asciiTheme="minorHAnsi" w:hAnsiTheme="minorHAnsi" w:cstheme="minorHAnsi"/>
                <w:sz w:val="20"/>
                <w:szCs w:val="20"/>
                <w:lang w:val="lt-LT"/>
              </w:rPr>
              <w:t>ryšiai tarp lokacijų ir nevaldomų VPN debesijos šliuzų paslaugų.</w:t>
            </w:r>
          </w:p>
          <w:p w14:paraId="5BA63CBE" w14:textId="77777777" w:rsidR="00322315" w:rsidRPr="0056752C" w:rsidRDefault="00322315" w:rsidP="00322315">
            <w:pPr>
              <w:numPr>
                <w:ilvl w:val="0"/>
                <w:numId w:val="13"/>
              </w:numPr>
              <w:spacing w:after="120" w:line="240" w:lineRule="auto"/>
              <w:rPr>
                <w:rFonts w:asciiTheme="minorHAnsi" w:hAnsiTheme="minorHAnsi" w:cstheme="minorHAnsi"/>
                <w:b/>
                <w:bCs/>
                <w:sz w:val="20"/>
                <w:szCs w:val="20"/>
                <w:lang w:val="lt-LT"/>
              </w:rPr>
            </w:pPr>
            <w:r w:rsidRPr="0056752C">
              <w:rPr>
                <w:rFonts w:asciiTheme="minorHAnsi" w:hAnsiTheme="minorHAnsi" w:cstheme="minorHAnsi"/>
                <w:b/>
                <w:bCs/>
                <w:sz w:val="20"/>
                <w:szCs w:val="20"/>
                <w:lang w:val="lt-LT"/>
              </w:rPr>
              <w:t xml:space="preserve">Enhanced Data Path (EDP) – </w:t>
            </w:r>
            <w:r w:rsidRPr="0056752C">
              <w:rPr>
                <w:rFonts w:asciiTheme="minorHAnsi" w:hAnsiTheme="minorHAnsi" w:cstheme="minorHAnsi"/>
                <w:sz w:val="20"/>
                <w:szCs w:val="20"/>
                <w:lang w:val="lt-LT"/>
              </w:rPr>
              <w:t>spartus (fast-path) srautų apdorojimas (pagerintas pralaidumas, pps, vėlinimas ir CPU efektyvumas).</w:t>
            </w:r>
          </w:p>
          <w:p w14:paraId="13753C3D" w14:textId="77777777" w:rsidR="00322315" w:rsidRPr="0056752C" w:rsidRDefault="00322315" w:rsidP="00322315">
            <w:pPr>
              <w:numPr>
                <w:ilvl w:val="0"/>
                <w:numId w:val="13"/>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lastRenderedPageBreak/>
              <w:t xml:space="preserve">DPU-based acceleration – </w:t>
            </w:r>
            <w:r w:rsidRPr="0056752C">
              <w:rPr>
                <w:rFonts w:asciiTheme="minorHAnsi" w:hAnsiTheme="minorHAnsi" w:cstheme="minorHAnsi"/>
                <w:sz w:val="20"/>
                <w:szCs w:val="20"/>
                <w:lang w:val="lt-LT"/>
              </w:rPr>
              <w:t>virtualaus tinklo paslaugų nukėlimas į DPU (Data Processing Unit).</w:t>
            </w:r>
          </w:p>
        </w:tc>
        <w:tc>
          <w:tcPr>
            <w:tcW w:w="1449" w:type="pct"/>
            <w:tcBorders>
              <w:top w:val="single" w:sz="4" w:space="0" w:color="auto"/>
              <w:left w:val="single" w:sz="4" w:space="0" w:color="auto"/>
              <w:bottom w:val="single" w:sz="4" w:space="0" w:color="auto"/>
              <w:right w:val="single" w:sz="4" w:space="0" w:color="auto"/>
            </w:tcBorders>
          </w:tcPr>
          <w:p w14:paraId="1394A344"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7D46FF62"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5D11576E"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7D540EB1" w14:textId="6C2ACCD9"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 </w:t>
            </w:r>
            <w:r w:rsidR="586B2B5A" w:rsidRPr="0056752C">
              <w:rPr>
                <w:rFonts w:asciiTheme="minorHAnsi" w:hAnsiTheme="minorHAnsi" w:cstheme="minorHAnsi"/>
                <w:sz w:val="20"/>
                <w:szCs w:val="20"/>
                <w:lang w:val="lt-LT"/>
              </w:rPr>
              <w:t>Konteinerių tinklo integracija</w:t>
            </w:r>
            <w:r w:rsidRPr="0056752C">
              <w:rPr>
                <w:rFonts w:asciiTheme="minorHAnsi" w:hAnsiTheme="minorHAnsi" w:cstheme="minorHAnsi"/>
                <w:sz w:val="20"/>
                <w:szCs w:val="20"/>
                <w:lang w:val="lt-LT"/>
              </w:rPr>
              <w:t xml:space="preserve"> (Kubernetes)</w:t>
            </w:r>
          </w:p>
        </w:tc>
        <w:tc>
          <w:tcPr>
            <w:tcW w:w="2247" w:type="pct"/>
            <w:tcBorders>
              <w:top w:val="single" w:sz="4" w:space="0" w:color="auto"/>
              <w:left w:val="single" w:sz="4" w:space="0" w:color="auto"/>
              <w:bottom w:val="single" w:sz="4" w:space="0" w:color="auto"/>
              <w:right w:val="single" w:sz="4" w:space="0" w:color="auto"/>
            </w:tcBorders>
          </w:tcPr>
          <w:p w14:paraId="1CC4A68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palaikyti (įsigijus papildomas licencijas):</w:t>
            </w:r>
          </w:p>
          <w:p w14:paraId="3F360148" w14:textId="77777777" w:rsidR="00322315" w:rsidRPr="0056752C" w:rsidRDefault="00322315" w:rsidP="00322315">
            <w:pPr>
              <w:numPr>
                <w:ilvl w:val="0"/>
                <w:numId w:val="12"/>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NSX Container Plugin (NCP) VKS/TKGs</w:t>
            </w:r>
            <w:r w:rsidRPr="0056752C">
              <w:rPr>
                <w:rFonts w:asciiTheme="minorHAnsi" w:hAnsiTheme="minorHAnsi" w:cstheme="minorHAnsi"/>
                <w:sz w:val="20"/>
                <w:szCs w:val="20"/>
                <w:lang w:val="lt-LT"/>
              </w:rPr>
              <w:t> – K8s tinklo integracija su VCF.</w:t>
            </w:r>
          </w:p>
          <w:p w14:paraId="15DBF862" w14:textId="77777777" w:rsidR="00322315" w:rsidRPr="0056752C" w:rsidRDefault="00322315" w:rsidP="00322315">
            <w:pPr>
              <w:numPr>
                <w:ilvl w:val="0"/>
                <w:numId w:val="12"/>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Container Networking with Antrea (CNI + NetworkPolicy)</w:t>
            </w:r>
            <w:r w:rsidRPr="0056752C">
              <w:rPr>
                <w:rFonts w:asciiTheme="minorHAnsi" w:hAnsiTheme="minorHAnsi" w:cstheme="minorHAnsi"/>
                <w:sz w:val="20"/>
                <w:szCs w:val="20"/>
                <w:lang w:val="lt-LT"/>
              </w:rPr>
              <w:t> – Antrea įgyvendina CNI ir Kubernetes tinklo politikas, POD izoliacija.</w:t>
            </w:r>
          </w:p>
          <w:p w14:paraId="32D4772F" w14:textId="77777777" w:rsidR="00322315" w:rsidRPr="0056752C" w:rsidRDefault="00322315" w:rsidP="00322315">
            <w:pPr>
              <w:numPr>
                <w:ilvl w:val="0"/>
                <w:numId w:val="12"/>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Pod-to-pod traffic encryption</w:t>
            </w:r>
            <w:r w:rsidRPr="0056752C">
              <w:rPr>
                <w:rFonts w:asciiTheme="minorHAnsi" w:hAnsiTheme="minorHAnsi" w:cstheme="minorHAnsi"/>
                <w:sz w:val="20"/>
                <w:szCs w:val="20"/>
                <w:lang w:val="lt-LT"/>
              </w:rPr>
              <w:t> – šifravimas tarp POD.</w:t>
            </w:r>
          </w:p>
          <w:p w14:paraId="1BED06AA" w14:textId="77777777" w:rsidR="00322315" w:rsidRPr="0056752C" w:rsidRDefault="00322315" w:rsidP="00322315">
            <w:pPr>
              <w:numPr>
                <w:ilvl w:val="0"/>
                <w:numId w:val="12"/>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Traceflow diagnostika</w:t>
            </w:r>
            <w:r w:rsidRPr="0056752C">
              <w:rPr>
                <w:rFonts w:asciiTheme="minorHAnsi" w:hAnsiTheme="minorHAnsi" w:cstheme="minorHAnsi"/>
                <w:sz w:val="20"/>
                <w:szCs w:val="20"/>
                <w:lang w:val="lt-LT"/>
              </w:rPr>
              <w:t> – įrankis, kuris padeda matyti sujungimus ir priklausomybes (“paketo“ pagalba parodo kelią).</w:t>
            </w:r>
          </w:p>
          <w:p w14:paraId="0A76F873" w14:textId="68A66C8F" w:rsidR="00322315" w:rsidRPr="0056752C" w:rsidRDefault="00322315" w:rsidP="003511A9">
            <w:pPr>
              <w:numPr>
                <w:ilvl w:val="0"/>
                <w:numId w:val="12"/>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NSX + Antrea integracija</w:t>
            </w:r>
            <w:r w:rsidRPr="0056752C">
              <w:rPr>
                <w:rFonts w:asciiTheme="minorHAnsi" w:hAnsiTheme="minorHAnsi" w:cstheme="minorHAnsi"/>
                <w:sz w:val="20"/>
                <w:szCs w:val="20"/>
                <w:lang w:val="lt-LT"/>
              </w:rPr>
              <w:t> – daugiaklasterinė politikų valdymas ir centralizuotas sujungimų trikčių šalinimas per NSX valdymo platformą (Traceflow).</w:t>
            </w:r>
          </w:p>
        </w:tc>
        <w:tc>
          <w:tcPr>
            <w:tcW w:w="1449" w:type="pct"/>
            <w:tcBorders>
              <w:top w:val="single" w:sz="4" w:space="0" w:color="auto"/>
              <w:left w:val="single" w:sz="4" w:space="0" w:color="auto"/>
              <w:bottom w:val="single" w:sz="4" w:space="0" w:color="auto"/>
              <w:right w:val="single" w:sz="4" w:space="0" w:color="auto"/>
            </w:tcBorders>
          </w:tcPr>
          <w:p w14:paraId="112616D7"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320ADD84"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27C0452B"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162A521F"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Valdymas ir automatizacija</w:t>
            </w:r>
          </w:p>
        </w:tc>
        <w:tc>
          <w:tcPr>
            <w:tcW w:w="2247" w:type="pct"/>
            <w:tcBorders>
              <w:top w:val="single" w:sz="4" w:space="0" w:color="auto"/>
              <w:left w:val="single" w:sz="4" w:space="0" w:color="auto"/>
              <w:bottom w:val="single" w:sz="4" w:space="0" w:color="auto"/>
              <w:right w:val="single" w:sz="4" w:space="0" w:color="auto"/>
            </w:tcBorders>
          </w:tcPr>
          <w:p w14:paraId="709D3E62"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palaikyti (įsigijus papildomas licencijas):</w:t>
            </w:r>
          </w:p>
          <w:p w14:paraId="5B6F2E9C" w14:textId="77777777" w:rsidR="00322315" w:rsidRPr="0056752C" w:rsidRDefault="00322315" w:rsidP="00322315">
            <w:pPr>
              <w:numPr>
                <w:ilvl w:val="0"/>
                <w:numId w:val="9"/>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Federation</w:t>
            </w:r>
            <w:r w:rsidRPr="0056752C">
              <w:rPr>
                <w:rFonts w:asciiTheme="minorHAnsi" w:hAnsiTheme="minorHAnsi" w:cstheme="minorHAnsi"/>
                <w:sz w:val="20"/>
                <w:szCs w:val="20"/>
                <w:lang w:val="lt-LT"/>
              </w:rPr>
              <w:t xml:space="preserve"> – centralizuota politika ir vykdymo užtikrinimas per kelias lokacijas („single pane of glass“).</w:t>
            </w:r>
          </w:p>
          <w:p w14:paraId="535BFDFF" w14:textId="77777777" w:rsidR="00322315" w:rsidRPr="0056752C" w:rsidRDefault="00322315" w:rsidP="00322315">
            <w:pPr>
              <w:numPr>
                <w:ilvl w:val="0"/>
                <w:numId w:val="9"/>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Multi-tenancy / Projects</w:t>
            </w:r>
            <w:r w:rsidRPr="0056752C">
              <w:rPr>
                <w:rFonts w:asciiTheme="minorHAnsi" w:hAnsiTheme="minorHAnsi" w:cstheme="minorHAnsi"/>
                <w:sz w:val="20"/>
                <w:szCs w:val="20"/>
                <w:lang w:val="lt-LT"/>
              </w:rPr>
              <w:t> – galimybė pasluagų tiekėjams kurti projektus, priskirti vartotojus/grupes, kvotas (galimybė vartotojams apriboti konfigūracijas).</w:t>
            </w:r>
          </w:p>
          <w:p w14:paraId="0B2C0BFD" w14:textId="77777777" w:rsidR="00322315" w:rsidRPr="0056752C" w:rsidRDefault="00322315" w:rsidP="00322315">
            <w:pPr>
              <w:numPr>
                <w:ilvl w:val="0"/>
                <w:numId w:val="9"/>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Modern REST API</w:t>
            </w:r>
            <w:r w:rsidRPr="0056752C">
              <w:rPr>
                <w:rFonts w:asciiTheme="minorHAnsi" w:hAnsiTheme="minorHAnsi" w:cstheme="minorHAnsi"/>
                <w:sz w:val="20"/>
                <w:szCs w:val="20"/>
                <w:lang w:val="lt-LT"/>
              </w:rPr>
              <w:t> – REST/JSON integracijoms ir automatizacijai.</w:t>
            </w:r>
          </w:p>
          <w:p w14:paraId="33D48F0D" w14:textId="77777777" w:rsidR="00322315" w:rsidRPr="0056752C" w:rsidRDefault="00322315" w:rsidP="00322315">
            <w:pPr>
              <w:numPr>
                <w:ilvl w:val="0"/>
                <w:numId w:val="9"/>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Automation integracijos</w:t>
            </w:r>
            <w:r w:rsidRPr="0056752C">
              <w:rPr>
                <w:rFonts w:asciiTheme="minorHAnsi" w:hAnsiTheme="minorHAnsi" w:cstheme="minorHAnsi"/>
                <w:sz w:val="20"/>
                <w:szCs w:val="20"/>
                <w:lang w:val="lt-LT"/>
              </w:rPr>
              <w:t> – privačios debesijos automatizacija, bei Terraform provider ir PowerShell palaikymas.</w:t>
            </w:r>
          </w:p>
          <w:p w14:paraId="7C80AAA7" w14:textId="77777777" w:rsidR="00322315" w:rsidRPr="0056752C" w:rsidRDefault="00322315" w:rsidP="00322315">
            <w:pPr>
              <w:numPr>
                <w:ilvl w:val="0"/>
                <w:numId w:val="9"/>
              </w:num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Network Ops įrankiai</w:t>
            </w:r>
            <w:r w:rsidRPr="0056752C">
              <w:rPr>
                <w:rFonts w:asciiTheme="minorHAnsi" w:hAnsiTheme="minorHAnsi" w:cstheme="minorHAnsi"/>
                <w:sz w:val="20"/>
                <w:szCs w:val="20"/>
                <w:lang w:val="lt-LT"/>
              </w:rPr>
              <w:t> – centrinė komandinė eilutė (angl. CLI), Traceflow, overlay logical SPAN, IPFIX, System Health (manager/transport/edge).</w:t>
            </w:r>
          </w:p>
        </w:tc>
        <w:tc>
          <w:tcPr>
            <w:tcW w:w="1449" w:type="pct"/>
            <w:tcBorders>
              <w:top w:val="single" w:sz="4" w:space="0" w:color="auto"/>
              <w:left w:val="single" w:sz="4" w:space="0" w:color="auto"/>
              <w:bottom w:val="single" w:sz="4" w:space="0" w:color="auto"/>
              <w:right w:val="single" w:sz="4" w:space="0" w:color="auto"/>
            </w:tcBorders>
          </w:tcPr>
          <w:p w14:paraId="6F1FCD10"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1AFF6302"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65E0F0C9"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0182351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Centralizuota telkinio valdymo sistema</w:t>
            </w:r>
          </w:p>
        </w:tc>
        <w:tc>
          <w:tcPr>
            <w:tcW w:w="2247" w:type="pct"/>
            <w:tcBorders>
              <w:top w:val="single" w:sz="4" w:space="0" w:color="auto"/>
              <w:left w:val="single" w:sz="4" w:space="0" w:color="auto"/>
              <w:bottom w:val="single" w:sz="4" w:space="0" w:color="auto"/>
              <w:right w:val="single" w:sz="4" w:space="0" w:color="auto"/>
            </w:tcBorders>
          </w:tcPr>
          <w:p w14:paraId="7B3ADC8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pateikta centralizuoto telkinio valdymo programinės įrangos sistema. Iš vienos konsolės privalo atlikti tokias funkcijas:</w:t>
            </w:r>
          </w:p>
          <w:p w14:paraId="1C2A79CA"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Automatizuoti telkinio paruošimą darbui, vedlių pagalba atliekant pradinius konfigūravimo darbus;</w:t>
            </w:r>
          </w:p>
          <w:p w14:paraId="248F047D"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Stebėti atskirų aparatinės įrangos komponentų, atskirų mazgų bei bendrą telkinio būseną, greitaveiką ir informuoti apie sutrikimus;</w:t>
            </w:r>
          </w:p>
          <w:p w14:paraId="1DABFB8A"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lastRenderedPageBreak/>
              <w:t>Valdyti ir automatizuoti papildomų mazgų įtraukimą į telkinį;</w:t>
            </w:r>
          </w:p>
          <w:p w14:paraId="69DDA596"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Kreiptis į įrangos gamintojo techninės pagalbos tarnybą užregistruojant gedimą, registruoti gedimą;</w:t>
            </w:r>
          </w:p>
          <w:p w14:paraId="77265E21"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atnaujinimas privalo būti atliekamas kaip viena operacija, apimanti visos telkinio aparatinės (BIOS, diskų valdiklių, tinklo adapterių ir kt. komponentų mikrokodų bei tvarkyklių) ir visos programinės įrangos (vCenter Server, hipervizoriaus, virtualios duomenų saugyklos programinės įrangos (SDS), telkinio valdymo posistemės ir kt.) automatizuotą atnaujinimą kartu (angl. „full stack upgrade“);</w:t>
            </w:r>
          </w:p>
          <w:p w14:paraId="15F614BF"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atnaujinimas privalo būti vykdomas nestabdant telkinio darbo ir atliekamas tiesiogiai iš VMware vCenter Server;</w:t>
            </w:r>
          </w:p>
          <w:p w14:paraId="1C86A780"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Prieš atnaujinant telkinį, privalo būti vykdomas automatinis visos aparatinės (BIOS, diskų valdiklių, tinklo adapterių ir kt. komponentų mikrokodų bei tvarkyklių) ir visos programinės (VMware vCenter Server, hipervizoriaus, virtualios duomenų saugyklos programinės įrangos, telkinio valdymo posistemės ir kt.) įrangos tarpusavio suderinamumo tikrinimas, kuris vykdomas tiesiogiai iš VMware vCenter Server.</w:t>
            </w:r>
          </w:p>
          <w:p w14:paraId="74D4913E"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Valdymo sistema privalo būti įdiegta gamykloje (virtualios mašinos formoje) ir paruošta naudoti įjungus telkinio mazgus, pasiekiama interneto naršyklės pagalba.</w:t>
            </w:r>
          </w:p>
        </w:tc>
        <w:tc>
          <w:tcPr>
            <w:tcW w:w="1449" w:type="pct"/>
            <w:tcBorders>
              <w:top w:val="single" w:sz="4" w:space="0" w:color="auto"/>
              <w:left w:val="single" w:sz="4" w:space="0" w:color="auto"/>
              <w:bottom w:val="single" w:sz="4" w:space="0" w:color="auto"/>
              <w:right w:val="single" w:sz="4" w:space="0" w:color="auto"/>
            </w:tcBorders>
          </w:tcPr>
          <w:p w14:paraId="19D4FD20"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77D69388"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528607E9"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7AEA5AB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būklės stebėjimas ir analitika</w:t>
            </w:r>
          </w:p>
        </w:tc>
        <w:tc>
          <w:tcPr>
            <w:tcW w:w="2247" w:type="pct"/>
            <w:tcBorders>
              <w:top w:val="single" w:sz="4" w:space="0" w:color="auto"/>
              <w:left w:val="single" w:sz="4" w:space="0" w:color="auto"/>
              <w:bottom w:val="single" w:sz="4" w:space="0" w:color="auto"/>
              <w:right w:val="single" w:sz="4" w:space="0" w:color="auto"/>
            </w:tcBorders>
          </w:tcPr>
          <w:p w14:paraId="0BA7465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pateikta ir įdiegta vieninga  programinė įranga arba debesijos paslauga, skirta centralizuotam telkinio fizinės ir virtualios infrastruktūros veikimo bei greitaveikos stebėjimui ir sutrikimų identifikavimui, užtikrinanti:</w:t>
            </w:r>
          </w:p>
          <w:p w14:paraId="2B418CD6"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Esamos ir praeities būklės įvertinimą (angl. „Health Checks“) bei gedimų šalinimo rekomendacijas, kartu pateikiant problemų priežastis ir nuorodas į galimų sprendimų žinių bazę, vertinimą atliekant viso sprendimo (t.y. visų sprendimą sudarančių telkinių lygmenyje), vieno telkinio ar vieno mazgo lygmenyse pasirinktinai;</w:t>
            </w:r>
          </w:p>
          <w:p w14:paraId="0CC4A771"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Techninės įrangos (CPU, RAM, tinklo jungčių, duomenų saugyklos talpos) panaudojimo, apkrovų analizę bei anomalijų aptikimą;</w:t>
            </w:r>
          </w:p>
          <w:p w14:paraId="6F584847"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Virtualizacijos telkinio ir atskirų jo komponentų  (įskaitant VM) stebėseną, pagrindinių parametrų atvaizdavimą, problemų įvardijimą ir kilmės šaltinių identifikavimą;</w:t>
            </w:r>
          </w:p>
          <w:p w14:paraId="28D9CEC5"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lastRenderedPageBreak/>
              <w:t>Atnaujinimo proceso supaprastinimą, analizuojant viso telkinio (arba telkinių)  būseną, pateikiant iš anksto gamintojo patikrintus individualius, gamintojo suderinamumą užtikrinančius atnaujinimus, jų diegimo eiliškumą bei sąlygas;</w:t>
            </w:r>
          </w:p>
          <w:p w14:paraId="46DE2286"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Dirbtiniu intelektu paremtą techninės įrangos resursų (pvz. duomenų saugyklos talpos užpildymo) panaudojimo prognozę ateičiai.</w:t>
            </w:r>
          </w:p>
          <w:p w14:paraId="52DF490B" w14:textId="77777777" w:rsidR="00322315" w:rsidRPr="0056752C" w:rsidRDefault="00322315" w:rsidP="00322315">
            <w:pPr>
              <w:numPr>
                <w:ilvl w:val="0"/>
                <w:numId w:val="2"/>
              </w:num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Duomenys privalo būti pateikiami grafiškai, įvairiais pjūviais (pagal laiko periodą, saugyklos elementus). Privalo būti pateikta pilnaverčiam ir maksimaliai detaliam ilgalaikiam (ne trumpesniam kaip 2 metai) statistinių duomenų saugojimui ir vizualizavimui reikalinga talpa.</w:t>
            </w:r>
          </w:p>
        </w:tc>
        <w:tc>
          <w:tcPr>
            <w:tcW w:w="1449" w:type="pct"/>
            <w:tcBorders>
              <w:top w:val="single" w:sz="4" w:space="0" w:color="auto"/>
              <w:left w:val="single" w:sz="4" w:space="0" w:color="auto"/>
              <w:bottom w:val="single" w:sz="4" w:space="0" w:color="auto"/>
              <w:right w:val="single" w:sz="4" w:space="0" w:color="auto"/>
            </w:tcBorders>
          </w:tcPr>
          <w:p w14:paraId="5B020715"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014A0C6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DE6BF9D"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1851E9F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Telkinio mazgų sisteminis valdymas</w:t>
            </w:r>
          </w:p>
        </w:tc>
        <w:tc>
          <w:tcPr>
            <w:tcW w:w="2247" w:type="pct"/>
            <w:tcBorders>
              <w:top w:val="single" w:sz="4" w:space="0" w:color="auto"/>
              <w:left w:val="single" w:sz="4" w:space="0" w:color="auto"/>
              <w:bottom w:val="single" w:sz="4" w:space="0" w:color="auto"/>
              <w:right w:val="single" w:sz="4" w:space="0" w:color="auto"/>
            </w:tcBorders>
          </w:tcPr>
          <w:p w14:paraId="1988786D" w14:textId="77777777" w:rsidR="00322315" w:rsidRPr="0056752C" w:rsidRDefault="00322315" w:rsidP="006D50DF">
            <w:pPr>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dedikuotas, nepriklausantis nuo operacinės sistemos valdymo kontroleris, turintis dedikuotą valdymo tinklo jungtį 100/1000BaseT Ethernet RJ-45 prievadą.</w:t>
            </w:r>
          </w:p>
          <w:p w14:paraId="2380B81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Privalo būti palaikomos savybės: RedFish, DCMI, virtuali, nepriklausanti nuo operacijų sistemos, nutolusi tekstinė ir grafinė konsolė HTL5 pagrindu, nuotolinis serverio maitinimo įjungimas/išjungimas,  SSL saugumas, mazgo valdymas per interneto naršyklę. </w:t>
            </w:r>
          </w:p>
          <w:p w14:paraId="1C229FE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aparatinės dalies būklės stebėjimas be operacinės sistemos. Stebimi parametrai ir komponentai: temperatūra, CPU, operatyvinė atmintis, vidiniai diskai, ventiliatoriai, tinklo kontroleriai. Privalo integruotis į VMware vCenter Server - perduodama informacija apie temperatūrą, CPU, operatyvinę atmintį, vidinius diskus, ventiliatorius, tinklo kontrolerius.</w:t>
            </w:r>
          </w:p>
          <w:p w14:paraId="775C083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nepriklausomas nuo operacinės sistemos pranešimų siuntimas elektroniniu paštu.</w:t>
            </w:r>
          </w:p>
          <w:p w14:paraId="20B46739"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būti galimybė prisijungi ne mažiau kaip 2 nutolusiems vartotojams vienu metu ir dalintis konsolės seansu.</w:t>
            </w:r>
          </w:p>
          <w:p w14:paraId="43E8BA91"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Privalo palaikyti: virtualų CD/DVD (galimybė naudoti nutolusio kompiuterio CD/DVD, CD/DVD atvaizdą ir USB duomenų laikmeną kaip serverio), virtualią KVM, vartotojų autentifikavimą per LDAP tarnybą /MS Active Directory.</w:t>
            </w:r>
          </w:p>
        </w:tc>
        <w:tc>
          <w:tcPr>
            <w:tcW w:w="1449" w:type="pct"/>
            <w:tcBorders>
              <w:top w:val="single" w:sz="4" w:space="0" w:color="auto"/>
              <w:left w:val="single" w:sz="4" w:space="0" w:color="auto"/>
              <w:bottom w:val="single" w:sz="4" w:space="0" w:color="auto"/>
              <w:right w:val="single" w:sz="4" w:space="0" w:color="auto"/>
            </w:tcBorders>
          </w:tcPr>
          <w:p w14:paraId="524A23BE"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7C2753B3"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10CAF090"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547B84A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Maitinimas</w:t>
            </w:r>
          </w:p>
        </w:tc>
        <w:tc>
          <w:tcPr>
            <w:tcW w:w="2247" w:type="pct"/>
            <w:tcBorders>
              <w:top w:val="single" w:sz="4" w:space="0" w:color="auto"/>
              <w:left w:val="single" w:sz="4" w:space="0" w:color="auto"/>
              <w:bottom w:val="single" w:sz="4" w:space="0" w:color="auto"/>
              <w:right w:val="single" w:sz="4" w:space="0" w:color="auto"/>
            </w:tcBorders>
          </w:tcPr>
          <w:p w14:paraId="219DC75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Pritaikytas maitinimui iš ne mažiau kaip  230V 50Hz vienfazio kintamosios srovės elektros tinklo. Karšto keitimo (angl. „Hot-plug“) dubliuoti maitinimo šaltiniai (2 vnt.). Galingumas privalo būti pakankamas užtikrinti tarnybinės stoties darbingumą net ir sutrikus vieno iš šaltinių veiklai net ir tuo atveju, jei atminties </w:t>
            </w:r>
            <w:r w:rsidRPr="0056752C">
              <w:rPr>
                <w:rFonts w:asciiTheme="minorHAnsi" w:hAnsiTheme="minorHAnsi" w:cstheme="minorHAnsi"/>
                <w:sz w:val="20"/>
                <w:szCs w:val="20"/>
                <w:lang w:val="lt-LT"/>
              </w:rPr>
              <w:lastRenderedPageBreak/>
              <w:t>ir diskų įrenginių vietos būtų visos užpildytos. Sutrikus vieno iš maitinimo šaltinių veiklai, tarnybinės stoties greitaveika neturi sumažėti.</w:t>
            </w:r>
          </w:p>
        </w:tc>
        <w:tc>
          <w:tcPr>
            <w:tcW w:w="1449" w:type="pct"/>
            <w:tcBorders>
              <w:top w:val="single" w:sz="4" w:space="0" w:color="auto"/>
              <w:left w:val="single" w:sz="4" w:space="0" w:color="auto"/>
              <w:bottom w:val="single" w:sz="4" w:space="0" w:color="auto"/>
              <w:right w:val="single" w:sz="4" w:space="0" w:color="auto"/>
            </w:tcBorders>
          </w:tcPr>
          <w:p w14:paraId="3CF41DC8"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56752C" w14:paraId="575525A2"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0BC2F643"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516E221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Telkinio mazgo korpusas </w:t>
            </w:r>
          </w:p>
        </w:tc>
        <w:tc>
          <w:tcPr>
            <w:tcW w:w="2247" w:type="pct"/>
            <w:tcBorders>
              <w:top w:val="single" w:sz="4" w:space="0" w:color="auto"/>
              <w:left w:val="single" w:sz="4" w:space="0" w:color="auto"/>
              <w:bottom w:val="single" w:sz="4" w:space="0" w:color="auto"/>
              <w:right w:val="single" w:sz="4" w:space="0" w:color="auto"/>
            </w:tcBorders>
          </w:tcPr>
          <w:p w14:paraId="091F67B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Aukštis ne didesnis nei 2U.</w:t>
            </w:r>
          </w:p>
          <w:p w14:paraId="14DB6FCA" w14:textId="77777777" w:rsidR="00322315" w:rsidRPr="0056752C" w:rsidRDefault="00322315" w:rsidP="006D50DF">
            <w:pPr>
              <w:spacing w:after="120" w:line="240" w:lineRule="auto"/>
              <w:rPr>
                <w:rFonts w:asciiTheme="minorHAnsi" w:hAnsiTheme="minorHAnsi" w:cstheme="minorHAnsi"/>
                <w:color w:val="000000"/>
                <w:sz w:val="20"/>
                <w:szCs w:val="20"/>
                <w:lang w:val="lt-LT" w:eastAsia="lt-LT"/>
              </w:rPr>
            </w:pPr>
            <w:r w:rsidRPr="0056752C">
              <w:rPr>
                <w:rFonts w:asciiTheme="minorHAnsi" w:hAnsiTheme="minorHAnsi" w:cstheme="minorHAnsi"/>
                <w:sz w:val="20"/>
                <w:szCs w:val="20"/>
                <w:lang w:val="lt-LT"/>
              </w:rPr>
              <w:t>Tinkamas montavimui į standartinę 19“ colių montažinę spintą su slankiais, pilnai ištraukiamais laikikliais ir visais montavimui reikalingais priedais (bėgiai, tvirtinimo elementai).</w:t>
            </w:r>
          </w:p>
          <w:p w14:paraId="415C5FB7" w14:textId="77777777" w:rsidR="00322315" w:rsidRPr="0056752C" w:rsidRDefault="00322315" w:rsidP="006D50DF">
            <w:pPr>
              <w:spacing w:after="120" w:line="240" w:lineRule="auto"/>
              <w:rPr>
                <w:rFonts w:asciiTheme="minorHAnsi" w:hAnsiTheme="minorHAnsi" w:cstheme="minorHAnsi"/>
                <w:color w:val="000000"/>
                <w:sz w:val="20"/>
                <w:szCs w:val="20"/>
                <w:lang w:val="lt-LT" w:eastAsia="lt-LT"/>
              </w:rPr>
            </w:pPr>
            <w:r w:rsidRPr="0056752C">
              <w:rPr>
                <w:rFonts w:asciiTheme="minorHAnsi" w:hAnsiTheme="minorHAnsi" w:cstheme="minorHAnsi"/>
                <w:sz w:val="20"/>
                <w:szCs w:val="20"/>
                <w:lang w:val="lt-LT"/>
              </w:rPr>
              <w:t>Privalo būti LCD arba LED gedimų indikacijos ir lokalizacijos sistema korpuso išorėje (priekinėje serverio panelėje).</w:t>
            </w:r>
          </w:p>
        </w:tc>
        <w:tc>
          <w:tcPr>
            <w:tcW w:w="1449" w:type="pct"/>
            <w:tcBorders>
              <w:top w:val="single" w:sz="4" w:space="0" w:color="auto"/>
              <w:left w:val="single" w:sz="4" w:space="0" w:color="auto"/>
              <w:bottom w:val="single" w:sz="4" w:space="0" w:color="auto"/>
              <w:right w:val="single" w:sz="4" w:space="0" w:color="auto"/>
            </w:tcBorders>
          </w:tcPr>
          <w:p w14:paraId="0FD0C653"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846E7C" w:rsidRPr="0056752C" w14:paraId="5FC41E4A"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5F5003B1" w14:textId="77777777" w:rsidR="00846E7C" w:rsidRPr="0056752C" w:rsidRDefault="00846E7C"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1BAA76C5" w14:textId="03213F60" w:rsidR="00846E7C" w:rsidRPr="00846E7C" w:rsidRDefault="00846E7C" w:rsidP="006D50DF">
            <w:pPr>
              <w:spacing w:after="120" w:line="240" w:lineRule="auto"/>
              <w:rPr>
                <w:rFonts w:asciiTheme="minorHAnsi" w:hAnsiTheme="minorHAnsi" w:cstheme="minorHAnsi"/>
                <w:sz w:val="20"/>
                <w:szCs w:val="20"/>
                <w:lang w:val="en-GB"/>
              </w:rPr>
            </w:pPr>
            <w:proofErr w:type="spellStart"/>
            <w:r>
              <w:rPr>
                <w:rFonts w:asciiTheme="minorHAnsi" w:hAnsiTheme="minorHAnsi" w:cstheme="minorHAnsi"/>
                <w:sz w:val="20"/>
                <w:szCs w:val="20"/>
                <w:lang w:val="en-GB"/>
              </w:rPr>
              <w:t>Į</w:t>
            </w:r>
            <w:r w:rsidRPr="00846E7C">
              <w:rPr>
                <w:rFonts w:asciiTheme="minorHAnsi" w:hAnsiTheme="minorHAnsi" w:cstheme="minorHAnsi"/>
                <w:sz w:val="20"/>
                <w:szCs w:val="20"/>
                <w:lang w:val="en-GB"/>
              </w:rPr>
              <w:t>rangos</w:t>
            </w:r>
            <w:proofErr w:type="spellEnd"/>
            <w:r w:rsidRPr="00846E7C">
              <w:rPr>
                <w:rFonts w:asciiTheme="minorHAnsi" w:hAnsiTheme="minorHAnsi" w:cstheme="minorHAnsi"/>
                <w:sz w:val="20"/>
                <w:szCs w:val="20"/>
                <w:lang w:val="en-GB"/>
              </w:rPr>
              <w:t xml:space="preserve"> </w:t>
            </w:r>
            <w:proofErr w:type="spellStart"/>
            <w:r w:rsidRPr="00846E7C">
              <w:rPr>
                <w:rFonts w:asciiTheme="minorHAnsi" w:hAnsiTheme="minorHAnsi" w:cstheme="minorHAnsi"/>
                <w:sz w:val="20"/>
                <w:szCs w:val="20"/>
                <w:lang w:val="en-GB"/>
              </w:rPr>
              <w:t>triukšmo</w:t>
            </w:r>
            <w:proofErr w:type="spellEnd"/>
            <w:r w:rsidRPr="00846E7C">
              <w:rPr>
                <w:rFonts w:asciiTheme="minorHAnsi" w:hAnsiTheme="minorHAnsi" w:cstheme="minorHAnsi"/>
                <w:sz w:val="20"/>
                <w:szCs w:val="20"/>
                <w:lang w:val="en-GB"/>
              </w:rPr>
              <w:t xml:space="preserve"> </w:t>
            </w:r>
            <w:proofErr w:type="spellStart"/>
            <w:r w:rsidRPr="00846E7C">
              <w:rPr>
                <w:rFonts w:asciiTheme="minorHAnsi" w:hAnsiTheme="minorHAnsi" w:cstheme="minorHAnsi"/>
                <w:sz w:val="20"/>
                <w:szCs w:val="20"/>
                <w:lang w:val="en-GB"/>
              </w:rPr>
              <w:t>lyg</w:t>
            </w:r>
            <w:r>
              <w:rPr>
                <w:rFonts w:asciiTheme="minorHAnsi" w:hAnsiTheme="minorHAnsi" w:cstheme="minorHAnsi"/>
                <w:sz w:val="20"/>
                <w:szCs w:val="20"/>
                <w:lang w:val="en-GB"/>
              </w:rPr>
              <w:t>is</w:t>
            </w:r>
            <w:proofErr w:type="spellEnd"/>
          </w:p>
        </w:tc>
        <w:tc>
          <w:tcPr>
            <w:tcW w:w="2247" w:type="pct"/>
            <w:tcBorders>
              <w:top w:val="single" w:sz="4" w:space="0" w:color="auto"/>
              <w:left w:val="single" w:sz="4" w:space="0" w:color="auto"/>
              <w:bottom w:val="single" w:sz="4" w:space="0" w:color="auto"/>
              <w:right w:val="single" w:sz="4" w:space="0" w:color="auto"/>
            </w:tcBorders>
          </w:tcPr>
          <w:p w14:paraId="759B1265" w14:textId="51A46B34" w:rsidR="00846E7C" w:rsidRPr="0056752C" w:rsidRDefault="00846E7C" w:rsidP="006D50DF">
            <w:pPr>
              <w:spacing w:after="120" w:line="240" w:lineRule="auto"/>
              <w:rPr>
                <w:rFonts w:asciiTheme="minorHAnsi" w:hAnsiTheme="minorHAnsi" w:cstheme="minorHAnsi"/>
                <w:sz w:val="20"/>
                <w:szCs w:val="20"/>
                <w:lang w:val="lt-LT"/>
              </w:rPr>
            </w:pPr>
            <w:r>
              <w:rPr>
                <w:rFonts w:asciiTheme="minorHAnsi" w:hAnsiTheme="minorHAnsi" w:cstheme="minorHAnsi"/>
                <w:sz w:val="20"/>
                <w:szCs w:val="20"/>
                <w:lang w:val="lt-LT"/>
              </w:rPr>
              <w:t xml:space="preserve">Ne didesnis nei </w:t>
            </w:r>
            <w:r w:rsidRPr="00846E7C">
              <w:rPr>
                <w:rFonts w:asciiTheme="minorHAnsi" w:hAnsiTheme="minorHAnsi" w:cstheme="minorHAnsi"/>
                <w:sz w:val="20"/>
                <w:szCs w:val="20"/>
                <w:lang w:val="lt-LT"/>
              </w:rPr>
              <w:t>75 dB(A)</w:t>
            </w:r>
          </w:p>
        </w:tc>
        <w:tc>
          <w:tcPr>
            <w:tcW w:w="1449" w:type="pct"/>
            <w:tcBorders>
              <w:top w:val="single" w:sz="4" w:space="0" w:color="auto"/>
              <w:left w:val="single" w:sz="4" w:space="0" w:color="auto"/>
              <w:bottom w:val="single" w:sz="4" w:space="0" w:color="auto"/>
              <w:right w:val="single" w:sz="4" w:space="0" w:color="auto"/>
            </w:tcBorders>
          </w:tcPr>
          <w:p w14:paraId="591D9AAF" w14:textId="77777777" w:rsidR="00846E7C" w:rsidRPr="0056752C" w:rsidRDefault="00846E7C" w:rsidP="006D50DF">
            <w:pPr>
              <w:spacing w:after="120" w:line="240" w:lineRule="auto"/>
              <w:rPr>
                <w:rFonts w:asciiTheme="minorHAnsi" w:hAnsiTheme="minorHAnsi" w:cstheme="minorHAnsi"/>
                <w:sz w:val="20"/>
                <w:szCs w:val="20"/>
                <w:lang w:val="lt-LT"/>
              </w:rPr>
            </w:pPr>
          </w:p>
        </w:tc>
      </w:tr>
      <w:tr w:rsidR="00322315" w:rsidRPr="0056752C" w14:paraId="0F254B14"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78919CA1"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0532B21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Tinklo komutatoriai</w:t>
            </w:r>
          </w:p>
        </w:tc>
        <w:tc>
          <w:tcPr>
            <w:tcW w:w="2247" w:type="pct"/>
            <w:tcBorders>
              <w:top w:val="single" w:sz="4" w:space="0" w:color="auto"/>
              <w:left w:val="single" w:sz="4" w:space="0" w:color="auto"/>
              <w:bottom w:val="single" w:sz="4" w:space="0" w:color="auto"/>
              <w:right w:val="single" w:sz="4" w:space="0" w:color="auto"/>
            </w:tcBorders>
          </w:tcPr>
          <w:p w14:paraId="04E701E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Ne mažiau kaip 2 vnt, montuojami į standartinę 19“ pločio montažinę spintą, ne daugiau kaip 1U aukščio, su visais priedais montuoti spintoje (bėgiai, tvirtinimo elementai ir pan.). Kiekvienas komutatorius privalo turėti ne mažiau kaip 24x 25Gbe SFP28 prievadų bei būtinus komutatorių apjungimo prievadus. Kiekvienas komutatorius privalo turėti du maitinimo šaltinius, užtikrinančius nepertraukiamą komutatoriaus darbą, vienam iš maitinimo šaltinių sugędus. Komutatoriai privalo būti apjungti ir dirbti aukšto patikimumo režimu. Pateikiami su visais reikalingais moduliais, kabeliais bei kitais komponentais, būtinais visai įrangai apjungti ir prašomam funkcionalumui užtikrinti. Komutatoriai privalo būti to paties gamintojo kaip ir Hiperkonverguotos infarstruktūros telkinio sprendimas.</w:t>
            </w:r>
          </w:p>
        </w:tc>
        <w:tc>
          <w:tcPr>
            <w:tcW w:w="1449" w:type="pct"/>
            <w:tcBorders>
              <w:top w:val="single" w:sz="4" w:space="0" w:color="auto"/>
              <w:left w:val="single" w:sz="4" w:space="0" w:color="auto"/>
              <w:bottom w:val="single" w:sz="4" w:space="0" w:color="auto"/>
              <w:right w:val="single" w:sz="4" w:space="0" w:color="auto"/>
            </w:tcBorders>
          </w:tcPr>
          <w:p w14:paraId="2D4019AA"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2EC50B44"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24BDFA36"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2734A91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Sprendimo garantija ir techninis palaikymas</w:t>
            </w:r>
          </w:p>
        </w:tc>
        <w:tc>
          <w:tcPr>
            <w:tcW w:w="2247" w:type="pct"/>
            <w:tcBorders>
              <w:top w:val="single" w:sz="4" w:space="0" w:color="auto"/>
              <w:left w:val="single" w:sz="4" w:space="0" w:color="auto"/>
              <w:bottom w:val="single" w:sz="4" w:space="0" w:color="auto"/>
              <w:right w:val="single" w:sz="4" w:space="0" w:color="auto"/>
            </w:tcBorders>
          </w:tcPr>
          <w:p w14:paraId="2A475EB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Siūlomam sprendimui ir visai pateikiamai aparatinei ir programinei įrangai privalo būti suteikiamos įrangos gamintojo užtikrintos garantinės ir techninės pagalbos paslaugos penkiems (5) metams nuo įrangos pristatymo Perkančiajai organizacijai. </w:t>
            </w:r>
          </w:p>
          <w:p w14:paraId="0F08CB3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Garantinė pagalba vykdoma 7 dienas per savaitę, 24 valandas per parą, įskaitant ir šventines dienas, reakcijos laikas 4 valandos on-site. Jei problemos nepavyksta išspręsti nuotoliniu būdu, gamintojo serviso centro specialistas ir keitimui reikalingi komponentai kritiniams sutrikimams šalinti privalo atvykti į įrangos buvimo vietą ne vėliau kaip kitą darbo dieną.</w:t>
            </w:r>
          </w:p>
          <w:p w14:paraId="5F692D8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Gamintojo garantuojamas nemokamas dalių tiekimas ir nemokami remonto darbai procesorių, atminties, diskų, maitinimo šaltinių, aušinimo modulių pakeitimas, jei įvyko išankstinis įspėjimas apie galimą jų gedimą (angl. „prefailure warranty“).</w:t>
            </w:r>
          </w:p>
          <w:p w14:paraId="6103D254"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lastRenderedPageBreak/>
              <w:t>Telkinio diskai privalo turėti gamintojo garantiją, kuri apima ir savaiminį diskų/modulių susidėvėjimą (pagal garantiją diskai keičiami susidėvėjus ar sugedus) visam garantiniam laikotarpiui. Sugedę arba nusidėvėję diskai negrąžinami.</w:t>
            </w:r>
          </w:p>
          <w:p w14:paraId="6AA8D540"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 telkinio valdymo posistemės lange). Įrangos gamintojas privalo dedikuoti šiam pirkimui gamintojo serviso centro specialistą, kuris padės Pirkėjui spręsti incidentus per visą garantijos laikotarpį.</w:t>
            </w:r>
          </w:p>
          <w:p w14:paraId="6A09F84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Visai sprendime naudojamos programinės ir techninės įrangos priežiūrai privalo būti taikomas „vieno langelio principas“  –  visiems sprendimo komponentams (aparatinei ir programinei įrangai šiame pasiūlyme), sutrikimai ir gedimai registruojami tiesiogiai įrangos gamintojo pagalbos tarnyboje, sprendžiami  gamintojo inžinierių.</w:t>
            </w:r>
          </w:p>
          <w:p w14:paraId="1B878C13"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Gamintojo pagalbos tarnyba privalo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privalo būti pasiūlyta su paslaugos lygiu, užtikrinančiu sugedusių mazgų pakeitimą per </w:t>
            </w:r>
            <w:r w:rsidRPr="0056752C">
              <w:rPr>
                <w:rFonts w:asciiTheme="minorHAnsi" w:hAnsiTheme="minorHAnsi" w:cstheme="minorHAnsi"/>
                <w:sz w:val="20"/>
                <w:szCs w:val="20"/>
                <w:shd w:val="clear" w:color="auto" w:fill="FFFFFF" w:themeFill="background1"/>
                <w:lang w:val="lt-LT"/>
              </w:rPr>
              <w:t>2 valandas</w:t>
            </w:r>
            <w:r w:rsidRPr="0056752C">
              <w:rPr>
                <w:rFonts w:asciiTheme="minorHAnsi" w:hAnsiTheme="minorHAnsi" w:cstheme="minorHAnsi"/>
                <w:sz w:val="20"/>
                <w:szCs w:val="20"/>
                <w:lang w:val="lt-LT"/>
              </w:rPr>
              <w:t xml:space="preserve"> bet kurią metų dieną (24/7). </w:t>
            </w:r>
          </w:p>
          <w:p w14:paraId="3A15702C"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Programinei įrangai, kuri yra sudedamoji  sprendimo dalis, esant galiojančiai techninės pagalbos ir programinės įrangos versijų naujumo (angl. </w:t>
            </w:r>
            <w:r w:rsidRPr="0056752C">
              <w:rPr>
                <w:rFonts w:asciiTheme="minorHAnsi" w:hAnsiTheme="minorHAnsi" w:cstheme="minorHAnsi"/>
                <w:i/>
                <w:iCs/>
                <w:sz w:val="20"/>
                <w:szCs w:val="20"/>
                <w:lang w:val="lt-LT"/>
              </w:rPr>
              <w:t>„software maintenance</w:t>
            </w:r>
            <w:r w:rsidRPr="0056752C">
              <w:rPr>
                <w:rFonts w:asciiTheme="minorHAnsi" w:hAnsiTheme="minorHAnsi" w:cstheme="minorHAnsi"/>
                <w:sz w:val="20"/>
                <w:szCs w:val="20"/>
                <w:lang w:val="lt-LT"/>
              </w:rPr>
              <w:t xml:space="preserve">“)_ sutarčiai - privalo būti galimybė naudoti naujausias versijas be papildomo pirkimo. </w:t>
            </w:r>
          </w:p>
          <w:p w14:paraId="637D1575"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Visi aukščiau išvardinti reikalavimai privalo būti garantuojami HCI telkinio gamintojo ir kartu su pasiūlymu pateiktas, tai patvirtinantis gamintojo raštas. </w:t>
            </w:r>
          </w:p>
          <w:p w14:paraId="50AD22AA"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Būtina pateikti nuorodą į gamintojo internetinę svetainę, kuri įgalina registruotus vartotojus serijinio numerio pagalba patikrinti suteiktą gamintojo garantiją.</w:t>
            </w:r>
          </w:p>
        </w:tc>
        <w:tc>
          <w:tcPr>
            <w:tcW w:w="1449" w:type="pct"/>
            <w:tcBorders>
              <w:top w:val="single" w:sz="4" w:space="0" w:color="auto"/>
              <w:left w:val="single" w:sz="4" w:space="0" w:color="auto"/>
              <w:bottom w:val="single" w:sz="4" w:space="0" w:color="auto"/>
              <w:right w:val="single" w:sz="4" w:space="0" w:color="auto"/>
            </w:tcBorders>
          </w:tcPr>
          <w:p w14:paraId="1D17A296"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322315" w:rsidRPr="003E2E59" w14:paraId="2FC1F58F"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584E0113" w14:textId="77777777" w:rsidR="00322315" w:rsidRPr="0056752C" w:rsidRDefault="00322315"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438C19C8"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Surinkimo reikalavimai</w:t>
            </w:r>
          </w:p>
        </w:tc>
        <w:tc>
          <w:tcPr>
            <w:tcW w:w="2247" w:type="pct"/>
            <w:tcBorders>
              <w:top w:val="single" w:sz="4" w:space="0" w:color="auto"/>
              <w:left w:val="single" w:sz="4" w:space="0" w:color="auto"/>
              <w:bottom w:val="single" w:sz="4" w:space="0" w:color="auto"/>
              <w:right w:val="single" w:sz="4" w:space="0" w:color="auto"/>
            </w:tcBorders>
          </w:tcPr>
          <w:p w14:paraId="70C5EC5D" w14:textId="77777777" w:rsidR="00322315" w:rsidRPr="0056752C" w:rsidRDefault="00322315"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 xml:space="preserve">Visos komplektuojamos įrenginio dalys privalo būti naujos ir pristatytos tiesiai iš gamyklos (atnaujintos, angl. refurbished, įrangos siūlyti negalima) bei </w:t>
            </w:r>
            <w:r w:rsidRPr="0056752C">
              <w:rPr>
                <w:rFonts w:asciiTheme="minorHAnsi" w:hAnsiTheme="minorHAnsi" w:cstheme="minorHAnsi"/>
                <w:sz w:val="20"/>
                <w:szCs w:val="20"/>
                <w:lang w:val="lt-LT"/>
              </w:rPr>
              <w:lastRenderedPageBreak/>
              <w:t>komplektuojamos įrenginio gamintojo ir pažymėtos gamintojo gamykliniais kodais.</w:t>
            </w:r>
          </w:p>
        </w:tc>
        <w:tc>
          <w:tcPr>
            <w:tcW w:w="1449" w:type="pct"/>
            <w:tcBorders>
              <w:top w:val="single" w:sz="4" w:space="0" w:color="auto"/>
              <w:left w:val="single" w:sz="4" w:space="0" w:color="auto"/>
              <w:bottom w:val="single" w:sz="4" w:space="0" w:color="auto"/>
              <w:right w:val="single" w:sz="4" w:space="0" w:color="auto"/>
            </w:tcBorders>
          </w:tcPr>
          <w:p w14:paraId="74099C66" w14:textId="77777777" w:rsidR="00322315" w:rsidRPr="0056752C" w:rsidRDefault="00322315" w:rsidP="006D50DF">
            <w:pPr>
              <w:spacing w:after="120" w:line="240" w:lineRule="auto"/>
              <w:rPr>
                <w:rFonts w:asciiTheme="minorHAnsi" w:hAnsiTheme="minorHAnsi" w:cstheme="minorHAnsi"/>
                <w:sz w:val="20"/>
                <w:szCs w:val="20"/>
                <w:lang w:val="lt-LT"/>
              </w:rPr>
            </w:pPr>
          </w:p>
        </w:tc>
      </w:tr>
      <w:tr w:rsidR="00494D7D" w:rsidRPr="003E2E59" w14:paraId="557D9D2C" w14:textId="77777777" w:rsidTr="006D50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2" w:type="pct"/>
            <w:tcBorders>
              <w:top w:val="single" w:sz="4" w:space="0" w:color="auto"/>
              <w:left w:val="single" w:sz="4" w:space="0" w:color="auto"/>
              <w:bottom w:val="single" w:sz="4" w:space="0" w:color="auto"/>
              <w:right w:val="single" w:sz="4" w:space="0" w:color="auto"/>
            </w:tcBorders>
            <w:noWrap/>
          </w:tcPr>
          <w:p w14:paraId="4F819901" w14:textId="77777777" w:rsidR="00494D7D" w:rsidRPr="0056752C" w:rsidRDefault="00494D7D" w:rsidP="00322315">
            <w:pPr>
              <w:numPr>
                <w:ilvl w:val="0"/>
                <w:numId w:val="5"/>
              </w:numPr>
              <w:spacing w:after="120" w:line="240" w:lineRule="auto"/>
              <w:rPr>
                <w:rFonts w:asciiTheme="minorHAnsi" w:hAnsiTheme="minorHAnsi" w:cstheme="minorHAnsi"/>
                <w:sz w:val="20"/>
                <w:szCs w:val="20"/>
                <w:lang w:val="lt-LT"/>
              </w:rPr>
            </w:pPr>
          </w:p>
        </w:tc>
        <w:tc>
          <w:tcPr>
            <w:tcW w:w="942" w:type="pct"/>
            <w:tcBorders>
              <w:top w:val="single" w:sz="4" w:space="0" w:color="auto"/>
              <w:left w:val="single" w:sz="4" w:space="0" w:color="auto"/>
              <w:bottom w:val="single" w:sz="4" w:space="0" w:color="auto"/>
              <w:right w:val="single" w:sz="4" w:space="0" w:color="auto"/>
            </w:tcBorders>
            <w:noWrap/>
          </w:tcPr>
          <w:p w14:paraId="39D7A9BC" w14:textId="27D29564" w:rsidR="00494D7D" w:rsidRPr="0056752C" w:rsidRDefault="004C7A8F"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Energetinio efektyvumo reikalavim</w:t>
            </w:r>
            <w:r w:rsidR="00B35921" w:rsidRPr="0056752C">
              <w:rPr>
                <w:rFonts w:asciiTheme="minorHAnsi" w:hAnsiTheme="minorHAnsi" w:cstheme="minorHAnsi"/>
                <w:sz w:val="20"/>
                <w:szCs w:val="20"/>
                <w:lang w:val="lt-LT"/>
              </w:rPr>
              <w:t>ai</w:t>
            </w:r>
          </w:p>
        </w:tc>
        <w:tc>
          <w:tcPr>
            <w:tcW w:w="2247" w:type="pct"/>
            <w:tcBorders>
              <w:top w:val="single" w:sz="4" w:space="0" w:color="auto"/>
              <w:left w:val="single" w:sz="4" w:space="0" w:color="auto"/>
              <w:bottom w:val="single" w:sz="4" w:space="0" w:color="auto"/>
              <w:right w:val="single" w:sz="4" w:space="0" w:color="auto"/>
            </w:tcBorders>
          </w:tcPr>
          <w:p w14:paraId="558B88BF" w14:textId="053860DA" w:rsidR="00494D7D" w:rsidRPr="0056752C" w:rsidRDefault="00494D7D" w:rsidP="00494D7D">
            <w:pPr>
              <w:spacing w:after="120" w:line="240" w:lineRule="auto"/>
              <w:rPr>
                <w:rFonts w:asciiTheme="minorHAnsi" w:hAnsiTheme="minorHAnsi" w:cstheme="minorHAnsi"/>
                <w:sz w:val="20"/>
                <w:szCs w:val="20"/>
                <w:lang w:val="lt-LT"/>
              </w:rPr>
            </w:pPr>
            <w:r w:rsidRPr="0056752C">
              <w:rPr>
                <w:rFonts w:asciiTheme="minorHAnsi" w:hAnsiTheme="minorHAnsi" w:cstheme="minorHAnsi"/>
                <w:sz w:val="20"/>
                <w:szCs w:val="20"/>
                <w:lang w:val="lt-LT"/>
              </w:rPr>
              <w:t>Serveriai turi atitikti jiems taikytinus Europos Sąjungos ekologinio projektavimo (Ecodesign) reikalavimus pagal Komisijos reglamentą (ES) 2019/424 (serveriams ir duomenų saugojimo gaminiams), su visais galiojančiais pakeitimais.</w:t>
            </w:r>
          </w:p>
          <w:p w14:paraId="21975A21" w14:textId="11767E9B" w:rsidR="00494D7D" w:rsidRPr="0056752C" w:rsidRDefault="00494D7D" w:rsidP="006D50DF">
            <w:pPr>
              <w:spacing w:after="120" w:line="240" w:lineRule="auto"/>
              <w:rPr>
                <w:rFonts w:asciiTheme="minorHAnsi" w:hAnsiTheme="minorHAnsi" w:cstheme="minorHAnsi"/>
                <w:sz w:val="20"/>
                <w:szCs w:val="20"/>
                <w:lang w:val="lt-LT"/>
              </w:rPr>
            </w:pPr>
            <w:r w:rsidRPr="0056752C">
              <w:rPr>
                <w:rFonts w:asciiTheme="minorHAnsi" w:hAnsiTheme="minorHAnsi" w:cstheme="minorHAnsi"/>
                <w:b/>
                <w:bCs/>
                <w:sz w:val="20"/>
                <w:szCs w:val="20"/>
                <w:lang w:val="lt-LT"/>
              </w:rPr>
              <w:t>Tiekėjas kartu su pasiūlymu</w:t>
            </w:r>
            <w:r w:rsidRPr="0056752C">
              <w:rPr>
                <w:rFonts w:asciiTheme="minorHAnsi" w:hAnsiTheme="minorHAnsi" w:cstheme="minorHAnsi"/>
                <w:sz w:val="20"/>
                <w:szCs w:val="20"/>
                <w:lang w:val="lt-LT"/>
              </w:rPr>
              <w:t> privalo pateikti gamintojo deklaraciją arba techninę dokumentaciją, patvirtinančią atitiktį šiam reglamentui.</w:t>
            </w:r>
          </w:p>
        </w:tc>
        <w:tc>
          <w:tcPr>
            <w:tcW w:w="1449" w:type="pct"/>
            <w:tcBorders>
              <w:top w:val="single" w:sz="4" w:space="0" w:color="auto"/>
              <w:left w:val="single" w:sz="4" w:space="0" w:color="auto"/>
              <w:bottom w:val="single" w:sz="4" w:space="0" w:color="auto"/>
              <w:right w:val="single" w:sz="4" w:space="0" w:color="auto"/>
            </w:tcBorders>
          </w:tcPr>
          <w:p w14:paraId="46696CBE" w14:textId="77777777" w:rsidR="00494D7D" w:rsidRPr="0056752C" w:rsidRDefault="00494D7D" w:rsidP="006D50DF">
            <w:pPr>
              <w:spacing w:after="120" w:line="240" w:lineRule="auto"/>
              <w:rPr>
                <w:rFonts w:asciiTheme="minorHAnsi" w:hAnsiTheme="minorHAnsi" w:cstheme="minorHAnsi"/>
                <w:sz w:val="20"/>
                <w:szCs w:val="20"/>
                <w:lang w:val="lt-LT"/>
              </w:rPr>
            </w:pPr>
          </w:p>
        </w:tc>
      </w:tr>
    </w:tbl>
    <w:p w14:paraId="3EF63635" w14:textId="77777777" w:rsidR="00322315" w:rsidRPr="0056752C" w:rsidRDefault="00322315" w:rsidP="00322315">
      <w:pPr>
        <w:spacing w:after="0"/>
        <w:rPr>
          <w:rFonts w:asciiTheme="minorHAnsi" w:hAnsiTheme="minorHAnsi" w:cstheme="minorHAnsi"/>
          <w:b/>
          <w:bCs/>
          <w:sz w:val="20"/>
          <w:szCs w:val="20"/>
          <w:lang w:val="lt-LT"/>
        </w:rPr>
      </w:pPr>
    </w:p>
    <w:p w14:paraId="068A5F22" w14:textId="77777777" w:rsidR="00322315" w:rsidRPr="0056752C" w:rsidRDefault="00322315" w:rsidP="00322315">
      <w:pPr>
        <w:spacing w:after="0"/>
        <w:rPr>
          <w:rFonts w:asciiTheme="minorHAnsi" w:hAnsiTheme="minorHAnsi" w:cstheme="minorHAnsi"/>
          <w:b/>
          <w:bCs/>
          <w:sz w:val="20"/>
          <w:szCs w:val="20"/>
          <w:lang w:val="lt-LT"/>
        </w:rPr>
      </w:pPr>
    </w:p>
    <w:p w14:paraId="05704098" w14:textId="77777777" w:rsidR="00322315" w:rsidRPr="0056752C" w:rsidRDefault="00322315" w:rsidP="00322315">
      <w:pPr>
        <w:jc w:val="center"/>
        <w:rPr>
          <w:rFonts w:asciiTheme="minorHAnsi" w:hAnsiTheme="minorHAnsi" w:cstheme="minorHAnsi"/>
          <w:sz w:val="20"/>
          <w:szCs w:val="20"/>
          <w:lang w:val="lt-LT"/>
        </w:rPr>
      </w:pPr>
      <w:r w:rsidRPr="0056752C">
        <w:rPr>
          <w:rFonts w:asciiTheme="minorHAnsi" w:hAnsiTheme="minorHAnsi" w:cstheme="minorHAnsi"/>
          <w:sz w:val="20"/>
          <w:szCs w:val="20"/>
          <w:lang w:val="lt-LT"/>
        </w:rPr>
        <w:t>________________________</w:t>
      </w:r>
    </w:p>
    <w:p w14:paraId="038CBC70" w14:textId="77777777" w:rsidR="00322315" w:rsidRPr="0056752C" w:rsidRDefault="00322315">
      <w:pPr>
        <w:rPr>
          <w:rFonts w:asciiTheme="minorHAnsi" w:hAnsiTheme="minorHAnsi" w:cstheme="minorHAnsi"/>
          <w:sz w:val="20"/>
          <w:szCs w:val="20"/>
          <w:lang w:val="lt-LT"/>
        </w:rPr>
      </w:pPr>
    </w:p>
    <w:sectPr w:rsidR="00322315" w:rsidRPr="0056752C" w:rsidSect="00322315">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charset w:val="BA"/>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951BE"/>
    <w:multiLevelType w:val="hybridMultilevel"/>
    <w:tmpl w:val="D6A8AA12"/>
    <w:lvl w:ilvl="0" w:tplc="08A4F7D8">
      <w:start w:val="1"/>
      <w:numFmt w:val="decimal"/>
      <w:lvlText w:val="%1."/>
      <w:lvlJc w:val="left"/>
      <w:pPr>
        <w:ind w:left="1400" w:hanging="5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367263"/>
    <w:multiLevelType w:val="multilevel"/>
    <w:tmpl w:val="304C1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340A9"/>
    <w:multiLevelType w:val="hybridMultilevel"/>
    <w:tmpl w:val="BF42B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60D5B"/>
    <w:multiLevelType w:val="multilevel"/>
    <w:tmpl w:val="2F346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BD29B0"/>
    <w:multiLevelType w:val="multilevel"/>
    <w:tmpl w:val="08F04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FC4051"/>
    <w:multiLevelType w:val="multilevel"/>
    <w:tmpl w:val="411AF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FB5BAE"/>
    <w:multiLevelType w:val="multilevel"/>
    <w:tmpl w:val="B5586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C41AA1"/>
    <w:multiLevelType w:val="multilevel"/>
    <w:tmpl w:val="8766D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BE4205"/>
    <w:multiLevelType w:val="multilevel"/>
    <w:tmpl w:val="FD5AF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4B604D"/>
    <w:multiLevelType w:val="multilevel"/>
    <w:tmpl w:val="52E8F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CF26DB"/>
    <w:multiLevelType w:val="multilevel"/>
    <w:tmpl w:val="D0AE3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FD5129"/>
    <w:multiLevelType w:val="hybridMultilevel"/>
    <w:tmpl w:val="79EE2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9882777"/>
    <w:multiLevelType w:val="multilevel"/>
    <w:tmpl w:val="78188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03028B"/>
    <w:multiLevelType w:val="multilevel"/>
    <w:tmpl w:val="616CD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233388714">
    <w:abstractNumId w:val="7"/>
  </w:num>
  <w:num w:numId="2" w16cid:durableId="1678538467">
    <w:abstractNumId w:val="15"/>
  </w:num>
  <w:num w:numId="3" w16cid:durableId="1708869374">
    <w:abstractNumId w:val="9"/>
  </w:num>
  <w:num w:numId="4" w16cid:durableId="171377003">
    <w:abstractNumId w:val="3"/>
  </w:num>
  <w:num w:numId="5" w16cid:durableId="1774813122">
    <w:abstractNumId w:val="2"/>
  </w:num>
  <w:num w:numId="6" w16cid:durableId="189027483">
    <w:abstractNumId w:val="4"/>
  </w:num>
  <w:num w:numId="7" w16cid:durableId="1946423065">
    <w:abstractNumId w:val="0"/>
  </w:num>
  <w:num w:numId="8" w16cid:durableId="1992636228">
    <w:abstractNumId w:val="13"/>
  </w:num>
  <w:num w:numId="9" w16cid:durableId="268197462">
    <w:abstractNumId w:val="14"/>
  </w:num>
  <w:num w:numId="10" w16cid:durableId="268775895">
    <w:abstractNumId w:val="5"/>
  </w:num>
  <w:num w:numId="11" w16cid:durableId="281964372">
    <w:abstractNumId w:val="1"/>
  </w:num>
  <w:num w:numId="12" w16cid:durableId="365449938">
    <w:abstractNumId w:val="6"/>
  </w:num>
  <w:num w:numId="13" w16cid:durableId="606545870">
    <w:abstractNumId w:val="10"/>
  </w:num>
  <w:num w:numId="14" w16cid:durableId="684331211">
    <w:abstractNumId w:val="8"/>
  </w:num>
  <w:num w:numId="15" w16cid:durableId="712922503">
    <w:abstractNumId w:val="11"/>
  </w:num>
  <w:num w:numId="16" w16cid:durableId="7938667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315"/>
    <w:rsid w:val="000350C5"/>
    <w:rsid w:val="000532C8"/>
    <w:rsid w:val="00092BA1"/>
    <w:rsid w:val="000969B7"/>
    <w:rsid w:val="000A054F"/>
    <w:rsid w:val="00112367"/>
    <w:rsid w:val="00165E47"/>
    <w:rsid w:val="00182D22"/>
    <w:rsid w:val="001D3E30"/>
    <w:rsid w:val="002028BB"/>
    <w:rsid w:val="00322315"/>
    <w:rsid w:val="003511A9"/>
    <w:rsid w:val="003A0933"/>
    <w:rsid w:val="003E2E59"/>
    <w:rsid w:val="004056B9"/>
    <w:rsid w:val="00485AD0"/>
    <w:rsid w:val="00494D7D"/>
    <w:rsid w:val="004B542B"/>
    <w:rsid w:val="004C7A8F"/>
    <w:rsid w:val="004F4C8E"/>
    <w:rsid w:val="005218CA"/>
    <w:rsid w:val="00561564"/>
    <w:rsid w:val="0056752C"/>
    <w:rsid w:val="005B6E47"/>
    <w:rsid w:val="0068105D"/>
    <w:rsid w:val="006D50DF"/>
    <w:rsid w:val="00794BE8"/>
    <w:rsid w:val="007A2AB4"/>
    <w:rsid w:val="007C1E7C"/>
    <w:rsid w:val="007F0A47"/>
    <w:rsid w:val="00816E0D"/>
    <w:rsid w:val="00846E7C"/>
    <w:rsid w:val="009C425F"/>
    <w:rsid w:val="009D6A89"/>
    <w:rsid w:val="00A43279"/>
    <w:rsid w:val="00AA6DA4"/>
    <w:rsid w:val="00AE4702"/>
    <w:rsid w:val="00B34C35"/>
    <w:rsid w:val="00B35921"/>
    <w:rsid w:val="00B6675C"/>
    <w:rsid w:val="00C44A8A"/>
    <w:rsid w:val="00C93F87"/>
    <w:rsid w:val="00CF0165"/>
    <w:rsid w:val="00D83F5C"/>
    <w:rsid w:val="00D90BAB"/>
    <w:rsid w:val="00E033DD"/>
    <w:rsid w:val="00E422FB"/>
    <w:rsid w:val="00E5557F"/>
    <w:rsid w:val="00FE3193"/>
    <w:rsid w:val="02705EAE"/>
    <w:rsid w:val="0DBFBAC1"/>
    <w:rsid w:val="1534C409"/>
    <w:rsid w:val="1A36FE44"/>
    <w:rsid w:val="287A7923"/>
    <w:rsid w:val="331594AF"/>
    <w:rsid w:val="3F7750B0"/>
    <w:rsid w:val="437786A0"/>
    <w:rsid w:val="451B44E6"/>
    <w:rsid w:val="586B2B5A"/>
    <w:rsid w:val="59CB14BF"/>
    <w:rsid w:val="60742DE9"/>
    <w:rsid w:val="71A16870"/>
    <w:rsid w:val="738CB8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EDB4C"/>
  <w15:chartTrackingRefBased/>
  <w15:docId w15:val="{709C0757-FF47-499E-B223-7E20B0AF4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315"/>
    <w:pPr>
      <w:spacing w:after="200" w:line="276" w:lineRule="auto"/>
      <w:jc w:val="both"/>
    </w:pPr>
    <w:rPr>
      <w:rFonts w:ascii="Times New Roman" w:eastAsia="Times New Roman" w:hAnsi="Times New Roman" w:cs="DokChampa"/>
      <w:kern w:val="0"/>
      <w:szCs w:val="22"/>
      <w:lang w:val="en-US" w:bidi="en-US"/>
      <w14:ligatures w14:val="none"/>
    </w:rPr>
  </w:style>
  <w:style w:type="paragraph" w:styleId="Heading1">
    <w:name w:val="heading 1"/>
    <w:basedOn w:val="Normal"/>
    <w:next w:val="Normal"/>
    <w:uiPriority w:val="9"/>
    <w:qFormat/>
    <w:rsid w:val="003223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uiPriority w:val="9"/>
    <w:unhideWhenUsed/>
    <w:qFormat/>
    <w:rsid w:val="003223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uiPriority w:val="9"/>
    <w:semiHidden/>
    <w:unhideWhenUsed/>
    <w:qFormat/>
    <w:rsid w:val="0032231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uiPriority w:val="9"/>
    <w:semiHidden/>
    <w:unhideWhenUsed/>
    <w:qFormat/>
    <w:rsid w:val="0032231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uiPriority w:val="9"/>
    <w:semiHidden/>
    <w:unhideWhenUsed/>
    <w:qFormat/>
    <w:rsid w:val="0032231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uiPriority w:val="9"/>
    <w:semiHidden/>
    <w:unhideWhenUsed/>
    <w:qFormat/>
    <w:rsid w:val="003223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3223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3223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3223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DefaultParagraphFont"/>
    <w:uiPriority w:val="21"/>
    <w:qFormat/>
    <w:rsid w:val="00322315"/>
    <w:rPr>
      <w:i/>
      <w:iCs/>
      <w:color w:val="2F5496" w:themeColor="accent1" w:themeShade="BF"/>
    </w:rPr>
  </w:style>
  <w:style w:type="character" w:styleId="IntenseReference">
    <w:name w:val="Intense Reference"/>
    <w:basedOn w:val="DefaultParagraphFont"/>
    <w:uiPriority w:val="32"/>
    <w:qFormat/>
    <w:rsid w:val="00322315"/>
    <w:rPr>
      <w:b/>
      <w:bCs/>
      <w:smallCaps/>
      <w:color w:val="2F5496" w:themeColor="accent1" w:themeShade="BF"/>
      <w:spacing w:val="5"/>
    </w:rPr>
  </w:style>
  <w:style w:type="character" w:styleId="CommentReference">
    <w:name w:val="annotation reference"/>
    <w:basedOn w:val="DefaultParagraphFont"/>
    <w:uiPriority w:val="99"/>
    <w:semiHidden/>
    <w:unhideWhenUsed/>
    <w:rsid w:val="00322315"/>
    <w:rPr>
      <w:sz w:val="16"/>
      <w:szCs w:val="16"/>
    </w:rPr>
  </w:style>
  <w:style w:type="paragraph" w:styleId="NormalWeb">
    <w:name w:val="Normal (Web)"/>
    <w:basedOn w:val="Normal"/>
    <w:uiPriority w:val="99"/>
    <w:unhideWhenUsed/>
    <w:rsid w:val="00322315"/>
    <w:pPr>
      <w:spacing w:before="100" w:beforeAutospacing="1" w:after="100" w:afterAutospacing="1" w:line="240" w:lineRule="auto"/>
    </w:pPr>
    <w:rPr>
      <w:rFonts w:cs="Times New Roman"/>
      <w:szCs w:val="24"/>
      <w:lang w:val="lt-LT" w:eastAsia="lt-LT" w:bidi="ar-SA"/>
    </w:rPr>
  </w:style>
  <w:style w:type="paragraph" w:styleId="Revision">
    <w:name w:val="Revision"/>
    <w:hidden/>
    <w:uiPriority w:val="99"/>
    <w:semiHidden/>
    <w:rsid w:val="00322315"/>
    <w:pPr>
      <w:spacing w:after="0" w:line="240" w:lineRule="auto"/>
    </w:pPr>
    <w:rPr>
      <w:rFonts w:ascii="Cambria" w:eastAsia="Times New Roman" w:hAnsi="Cambria" w:cs="DokChampa"/>
      <w:kern w:val="0"/>
      <w:sz w:val="22"/>
      <w:szCs w:val="22"/>
      <w:lang w:val="en-US" w:bidi="en-US"/>
      <w14:ligatures w14:val="none"/>
    </w:rPr>
  </w:style>
  <w:style w:type="character" w:styleId="Hyperlink">
    <w:name w:val="Hyperlink"/>
    <w:aliases w:val="Alna"/>
    <w:rsid w:val="00322315"/>
    <w:rPr>
      <w:color w:val="0000FF"/>
      <w:u w:val="single"/>
    </w:rPr>
  </w:style>
  <w:style w:type="character" w:styleId="FootnoteReference">
    <w:name w:val="footnote reference"/>
    <w:basedOn w:val="DefaultParagraphFont"/>
    <w:uiPriority w:val="99"/>
    <w:semiHidden/>
    <w:unhideWhenUsed/>
    <w:rsid w:val="00322315"/>
    <w:rPr>
      <w:vertAlign w:val="superscript"/>
    </w:rPr>
  </w:style>
  <w:style w:type="table" w:styleId="TableGrid">
    <w:name w:val="Table Grid"/>
    <w:basedOn w:val="TableNormal"/>
    <w:uiPriority w:val="59"/>
    <w:rsid w:val="00322315"/>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22315"/>
    <w:rPr>
      <w:color w:val="605E5C"/>
      <w:shd w:val="clear" w:color="auto" w:fill="E1DFDD"/>
    </w:rPr>
  </w:style>
  <w:style w:type="character" w:customStyle="1" w:styleId="normaltextrun">
    <w:name w:val="normaltextrun"/>
    <w:basedOn w:val="DefaultParagraphFont"/>
    <w:rsid w:val="00322315"/>
  </w:style>
  <w:style w:type="character" w:styleId="FollowedHyperlink">
    <w:name w:val="FollowedHyperlink"/>
    <w:basedOn w:val="DefaultParagraphFont"/>
    <w:uiPriority w:val="99"/>
    <w:semiHidden/>
    <w:unhideWhenUsed/>
    <w:rsid w:val="00322315"/>
    <w:rPr>
      <w:color w:val="954F72" w:themeColor="followedHyperlink"/>
      <w:u w:val="single"/>
    </w:rPr>
  </w:style>
  <w:style w:type="paragraph" w:customStyle="1" w:styleId="Default">
    <w:name w:val="Default"/>
    <w:rsid w:val="0032231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Isvadakonsoliduotaiversijai6">
    <w:name w:val="Isvada_konsoliduotai_versijai6"/>
    <w:basedOn w:val="Normal"/>
    <w:qFormat/>
    <w:rsid w:val="00322315"/>
    <w:pPr>
      <w:keepNext/>
      <w:spacing w:after="0" w:line="240" w:lineRule="auto"/>
      <w:jc w:val="left"/>
      <w:outlineLvl w:val="5"/>
    </w:pPr>
    <w:rPr>
      <w:rFonts w:cs="Times New Roman"/>
      <w:b/>
      <w:bCs/>
      <w:szCs w:val="20"/>
      <w:lang w:val="lt-LT" w:eastAsia="lt-LT" w:bidi="ar-SA"/>
    </w:rPr>
  </w:style>
  <w:style w:type="paragraph" w:customStyle="1" w:styleId="paragraph">
    <w:name w:val="paragraph"/>
    <w:basedOn w:val="Normal"/>
    <w:rsid w:val="00322315"/>
    <w:pPr>
      <w:spacing w:before="100" w:beforeAutospacing="1" w:after="100" w:afterAutospacing="1" w:line="240" w:lineRule="auto"/>
      <w:jc w:val="left"/>
    </w:pPr>
    <w:rPr>
      <w:rFonts w:cs="Times New Roman"/>
      <w:szCs w:val="24"/>
      <w:lang w:val="lt-LT" w:eastAsia="lt-LT" w:bidi="ar-SA"/>
    </w:rPr>
  </w:style>
  <w:style w:type="character" w:customStyle="1" w:styleId="eop">
    <w:name w:val="eop"/>
    <w:basedOn w:val="DefaultParagraphFont"/>
    <w:rsid w:val="00322315"/>
  </w:style>
  <w:style w:type="character" w:styleId="UnresolvedMention">
    <w:name w:val="Unresolved Mention"/>
    <w:basedOn w:val="DefaultParagraphFont"/>
    <w:uiPriority w:val="99"/>
    <w:semiHidden/>
    <w:unhideWhenUsed/>
    <w:rsid w:val="00322315"/>
    <w:rPr>
      <w:color w:val="605E5C"/>
      <w:shd w:val="clear" w:color="auto" w:fill="E1DFDD"/>
    </w:rPr>
  </w:style>
  <w:style w:type="character" w:customStyle="1" w:styleId="Antrat1Diagrama">
    <w:name w:val="Antraštė 1 Diagrama"/>
    <w:basedOn w:val="DefaultParagraphFont"/>
    <w:uiPriority w:val="9"/>
    <w:rsid w:val="00D90B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DefaultParagraphFont"/>
    <w:uiPriority w:val="9"/>
    <w:rsid w:val="00D90B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DefaultParagraphFont"/>
    <w:uiPriority w:val="9"/>
    <w:semiHidden/>
    <w:rsid w:val="00D90BAB"/>
    <w:rPr>
      <w:rFonts w:eastAsiaTheme="majorEastAsia" w:cstheme="majorBidi"/>
      <w:color w:val="2F5496" w:themeColor="accent1" w:themeShade="BF"/>
      <w:sz w:val="28"/>
      <w:szCs w:val="28"/>
    </w:rPr>
  </w:style>
  <w:style w:type="character" w:customStyle="1" w:styleId="Antrat4Diagrama">
    <w:name w:val="Antraštė 4 Diagrama"/>
    <w:basedOn w:val="DefaultParagraphFont"/>
    <w:uiPriority w:val="9"/>
    <w:semiHidden/>
    <w:rsid w:val="00D90BAB"/>
    <w:rPr>
      <w:rFonts w:eastAsiaTheme="majorEastAsia" w:cstheme="majorBidi"/>
      <w:i/>
      <w:iCs/>
      <w:color w:val="2F5496" w:themeColor="accent1" w:themeShade="BF"/>
    </w:rPr>
  </w:style>
  <w:style w:type="character" w:customStyle="1" w:styleId="Antrat5Diagrama">
    <w:name w:val="Antraštė 5 Diagrama"/>
    <w:basedOn w:val="DefaultParagraphFont"/>
    <w:uiPriority w:val="9"/>
    <w:semiHidden/>
    <w:rsid w:val="00D90BAB"/>
    <w:rPr>
      <w:rFonts w:eastAsiaTheme="majorEastAsia" w:cstheme="majorBidi"/>
      <w:color w:val="2F5496" w:themeColor="accent1" w:themeShade="BF"/>
    </w:rPr>
  </w:style>
  <w:style w:type="character" w:customStyle="1" w:styleId="Antrat6Diagrama">
    <w:name w:val="Antraštė 6 Diagrama"/>
    <w:basedOn w:val="DefaultParagraphFont"/>
    <w:uiPriority w:val="9"/>
    <w:semiHidden/>
    <w:rsid w:val="00D90BAB"/>
    <w:rPr>
      <w:rFonts w:eastAsiaTheme="majorEastAsia" w:cstheme="majorBidi"/>
      <w:i/>
      <w:iCs/>
      <w:color w:val="595959" w:themeColor="text1" w:themeTint="A6"/>
    </w:rPr>
  </w:style>
  <w:style w:type="character" w:customStyle="1" w:styleId="Antrat7Diagrama">
    <w:name w:val="Antraštė 7 Diagrama"/>
    <w:basedOn w:val="DefaultParagraphFont"/>
    <w:uiPriority w:val="9"/>
    <w:semiHidden/>
    <w:rsid w:val="00D90BAB"/>
    <w:rPr>
      <w:rFonts w:eastAsiaTheme="majorEastAsia" w:cstheme="majorBidi"/>
      <w:color w:val="595959" w:themeColor="text1" w:themeTint="A6"/>
    </w:rPr>
  </w:style>
  <w:style w:type="character" w:customStyle="1" w:styleId="Antrat8Diagrama">
    <w:name w:val="Antraštė 8 Diagrama"/>
    <w:basedOn w:val="DefaultParagraphFont"/>
    <w:uiPriority w:val="9"/>
    <w:semiHidden/>
    <w:rsid w:val="00D90BAB"/>
    <w:rPr>
      <w:rFonts w:eastAsiaTheme="majorEastAsia" w:cstheme="majorBidi"/>
      <w:i/>
      <w:iCs/>
      <w:color w:val="272727" w:themeColor="text1" w:themeTint="D8"/>
    </w:rPr>
  </w:style>
  <w:style w:type="character" w:customStyle="1" w:styleId="Antrat9Diagrama">
    <w:name w:val="Antraštė 9 Diagrama"/>
    <w:basedOn w:val="DefaultParagraphFont"/>
    <w:uiPriority w:val="9"/>
    <w:semiHidden/>
    <w:rsid w:val="00D90BAB"/>
    <w:rPr>
      <w:rFonts w:eastAsiaTheme="majorEastAsia" w:cstheme="majorBidi"/>
      <w:color w:val="272727" w:themeColor="text1" w:themeTint="D8"/>
    </w:rPr>
  </w:style>
  <w:style w:type="character" w:customStyle="1" w:styleId="PavadinimasDiagrama">
    <w:name w:val="Pavadinimas Diagrama"/>
    <w:basedOn w:val="DefaultParagraphFont"/>
    <w:uiPriority w:val="10"/>
    <w:rsid w:val="00D90BAB"/>
    <w:rPr>
      <w:rFonts w:asciiTheme="majorHAnsi" w:eastAsiaTheme="majorEastAsia" w:hAnsiTheme="majorHAnsi" w:cstheme="majorBidi"/>
      <w:spacing w:val="-10"/>
      <w:kern w:val="28"/>
      <w:sz w:val="56"/>
      <w:szCs w:val="56"/>
    </w:rPr>
  </w:style>
  <w:style w:type="character" w:customStyle="1" w:styleId="PaantratDiagrama">
    <w:name w:val="Paantraštė Diagrama"/>
    <w:basedOn w:val="DefaultParagraphFont"/>
    <w:uiPriority w:val="11"/>
    <w:rsid w:val="00D90BAB"/>
    <w:rPr>
      <w:rFonts w:eastAsiaTheme="majorEastAsia" w:cstheme="majorBidi"/>
      <w:color w:val="595959" w:themeColor="text1" w:themeTint="A6"/>
      <w:spacing w:val="15"/>
      <w:sz w:val="28"/>
      <w:szCs w:val="28"/>
    </w:rPr>
  </w:style>
  <w:style w:type="character" w:customStyle="1" w:styleId="CitataDiagrama">
    <w:name w:val="Citata Diagrama"/>
    <w:basedOn w:val="DefaultParagraphFont"/>
    <w:uiPriority w:val="29"/>
    <w:rsid w:val="00D90BAB"/>
    <w:rPr>
      <w:i/>
      <w:iCs/>
      <w:color w:val="404040" w:themeColor="text1" w:themeTint="BF"/>
    </w:rPr>
  </w:style>
  <w:style w:type="character" w:customStyle="1" w:styleId="IskirtacitataDiagrama">
    <w:name w:val="Išskirta citata Diagrama"/>
    <w:basedOn w:val="DefaultParagraphFont"/>
    <w:uiPriority w:val="30"/>
    <w:rsid w:val="00D90BAB"/>
    <w:rPr>
      <w:i/>
      <w:iCs/>
      <w:color w:val="2F5496" w:themeColor="accent1" w:themeShade="BF"/>
    </w:rPr>
  </w:style>
  <w:style w:type="character" w:customStyle="1" w:styleId="KomentarotekstasDiagrama">
    <w:name w:val="Komentaro tekstas Diagrama"/>
    <w:basedOn w:val="DefaultParagraphFont"/>
    <w:uiPriority w:val="99"/>
    <w:rsid w:val="00D90BAB"/>
    <w:rPr>
      <w:rFonts w:ascii="Times New Roman" w:eastAsia="Times New Roman" w:hAnsi="Times New Roman" w:cs="DokChampa"/>
      <w:kern w:val="0"/>
      <w:sz w:val="20"/>
      <w:szCs w:val="20"/>
      <w:lang w:val="en-US" w:bidi="en-US"/>
      <w14:ligatures w14:val="none"/>
    </w:rPr>
  </w:style>
  <w:style w:type="character" w:customStyle="1" w:styleId="AntratsDiagrama">
    <w:name w:val="Antraštės Diagrama"/>
    <w:basedOn w:val="DefaultParagraphFont"/>
    <w:uiPriority w:val="99"/>
    <w:rsid w:val="00D90BAB"/>
    <w:rPr>
      <w:rFonts w:ascii="Times New Roman" w:eastAsia="Times New Roman" w:hAnsi="Times New Roman" w:cs="DokChampa"/>
      <w:kern w:val="0"/>
      <w:szCs w:val="22"/>
      <w:lang w:val="en-US" w:bidi="en-US"/>
      <w14:ligatures w14:val="none"/>
    </w:rPr>
  </w:style>
  <w:style w:type="character" w:customStyle="1" w:styleId="PoratDiagrama">
    <w:name w:val="Poraštė Diagrama"/>
    <w:basedOn w:val="DefaultParagraphFont"/>
    <w:uiPriority w:val="99"/>
    <w:rsid w:val="00D90BAB"/>
    <w:rPr>
      <w:rFonts w:ascii="Times New Roman" w:eastAsia="Times New Roman" w:hAnsi="Times New Roman" w:cs="DokChampa"/>
      <w:kern w:val="0"/>
      <w:szCs w:val="22"/>
      <w:lang w:val="en-US" w:bidi="en-US"/>
      <w14:ligatures w14:val="none"/>
    </w:rPr>
  </w:style>
  <w:style w:type="character" w:customStyle="1" w:styleId="DebesliotekstasDiagrama">
    <w:name w:val="Debesėlio tekstas Diagrama"/>
    <w:basedOn w:val="DefaultParagraphFont"/>
    <w:uiPriority w:val="99"/>
    <w:semiHidden/>
    <w:rsid w:val="00D90BAB"/>
    <w:rPr>
      <w:rFonts w:ascii="Segoe UI" w:eastAsia="Times New Roman" w:hAnsi="Segoe UI" w:cs="Segoe UI"/>
      <w:kern w:val="0"/>
      <w:sz w:val="18"/>
      <w:szCs w:val="18"/>
      <w:lang w:val="en-US" w:bidi="en-US"/>
      <w14:ligatures w14:val="none"/>
    </w:rPr>
  </w:style>
  <w:style w:type="character" w:customStyle="1" w:styleId="KomentarotemaDiagrama">
    <w:name w:val="Komentaro tema Diagrama"/>
    <w:basedOn w:val="KomentarotekstasDiagrama"/>
    <w:uiPriority w:val="99"/>
    <w:semiHidden/>
    <w:rsid w:val="00D90BAB"/>
    <w:rPr>
      <w:rFonts w:ascii="Times New Roman" w:eastAsia="Times New Roman" w:hAnsi="Times New Roman" w:cs="DokChampa"/>
      <w:b/>
      <w:bCs/>
      <w:kern w:val="0"/>
      <w:sz w:val="20"/>
      <w:szCs w:val="20"/>
      <w:lang w:val="en-US" w:bidi="en-US"/>
      <w14:ligatures w14:val="non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qFormat/>
    <w:locked/>
    <w:rsid w:val="00D90BAB"/>
  </w:style>
  <w:style w:type="character" w:customStyle="1" w:styleId="PuslapioinaostekstasDiagrama">
    <w:name w:val="Puslapio išnašos tekstas Diagrama"/>
    <w:basedOn w:val="DefaultParagraphFont"/>
    <w:uiPriority w:val="99"/>
    <w:semiHidden/>
    <w:rsid w:val="00D90BAB"/>
    <w:rPr>
      <w:rFonts w:ascii="Times New Roman" w:eastAsia="Times New Roman" w:hAnsi="Times New Roman" w:cs="Times New Roman"/>
      <w:kern w:val="0"/>
      <w:sz w:val="20"/>
      <w:szCs w:val="20"/>
      <w:lang w:val="en-GB"/>
      <w14:ligatures w14:val="none"/>
    </w:rPr>
  </w:style>
  <w:style w:type="character" w:customStyle="1" w:styleId="HTMLiankstoformatuotasDiagrama">
    <w:name w:val="HTML iš anksto formatuotas Diagrama"/>
    <w:aliases w:val="Char Char Char Char Diagrama"/>
    <w:basedOn w:val="DefaultParagraphFont"/>
    <w:rsid w:val="00D90BAB"/>
    <w:rPr>
      <w:rFonts w:ascii="Courier New" w:eastAsia="Times New Roman" w:hAnsi="Courier New" w:cs="Times New Roman"/>
      <w:kern w:val="0"/>
      <w:sz w:val="20"/>
      <w:lang w:val="en-US"/>
      <w14:ligatures w14:val="none"/>
    </w:rPr>
  </w:style>
  <w:style w:type="paragraph" w:styleId="CommentText">
    <w:name w:val="annotation text"/>
    <w:basedOn w:val="Normal"/>
    <w:link w:val="CommentTextChar"/>
    <w:uiPriority w:val="99"/>
    <w:unhideWhenUsed/>
    <w:rsid w:val="00092BA1"/>
    <w:pPr>
      <w:spacing w:line="240" w:lineRule="auto"/>
    </w:pPr>
    <w:rPr>
      <w:sz w:val="20"/>
      <w:szCs w:val="20"/>
    </w:rPr>
  </w:style>
  <w:style w:type="character" w:customStyle="1" w:styleId="CommentTextChar">
    <w:name w:val="Comment Text Char"/>
    <w:basedOn w:val="DefaultParagraphFont"/>
    <w:link w:val="CommentText"/>
    <w:uiPriority w:val="99"/>
    <w:rsid w:val="00092BA1"/>
    <w:rPr>
      <w:rFonts w:ascii="Times New Roman" w:eastAsia="Times New Roman" w:hAnsi="Times New Roman" w:cs="DokChampa"/>
      <w:kern w:val="0"/>
      <w:sz w:val="20"/>
      <w:szCs w:val="20"/>
      <w:lang w:val="en-US" w:bidi="en-US"/>
      <w14:ligatures w14:val="none"/>
    </w:rPr>
  </w:style>
  <w:style w:type="paragraph" w:styleId="CommentSubject">
    <w:name w:val="annotation subject"/>
    <w:basedOn w:val="CommentText"/>
    <w:next w:val="CommentText"/>
    <w:link w:val="CommentSubjectChar"/>
    <w:uiPriority w:val="99"/>
    <w:semiHidden/>
    <w:unhideWhenUsed/>
    <w:rsid w:val="00092BA1"/>
    <w:rPr>
      <w:b/>
      <w:bCs/>
    </w:rPr>
  </w:style>
  <w:style w:type="character" w:customStyle="1" w:styleId="CommentSubjectChar">
    <w:name w:val="Comment Subject Char"/>
    <w:basedOn w:val="CommentTextChar"/>
    <w:link w:val="CommentSubject"/>
    <w:uiPriority w:val="99"/>
    <w:semiHidden/>
    <w:rsid w:val="00092BA1"/>
    <w:rPr>
      <w:rFonts w:ascii="Times New Roman" w:eastAsia="Times New Roman" w:hAnsi="Times New Roman" w:cs="DokChampa"/>
      <w:b/>
      <w:bCs/>
      <w:kern w:val="0"/>
      <w:sz w:val="20"/>
      <w:szCs w:val="20"/>
      <w:lang w:val="en-US"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ec.org/cpu2017/results/res2024q1/cpu2017-20240112-40618.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6710EC-1319-4E30-B73A-15BC5499F713}">
  <ds:schemaRefs>
    <ds:schemaRef ds:uri="http://schemas.microsoft.com/sharepoint/v3/contenttype/forms"/>
  </ds:schemaRefs>
</ds:datastoreItem>
</file>

<file path=customXml/itemProps2.xml><?xml version="1.0" encoding="utf-8"?>
<ds:datastoreItem xmlns:ds="http://schemas.openxmlformats.org/officeDocument/2006/customXml" ds:itemID="{672A7B6C-D7D6-4529-83BD-C64C9D2C2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E4403-BDE2-4A75-BB94-280DFB5F387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25577</Words>
  <Characters>14579</Characters>
  <Application>Microsoft Office Word</Application>
  <DocSecurity>0</DocSecurity>
  <Lines>121</Lines>
  <Paragraphs>80</Paragraphs>
  <ScaleCrop>false</ScaleCrop>
  <Company/>
  <LinksUpToDate>false</LinksUpToDate>
  <CharactersWithSpaces>40076</CharactersWithSpaces>
  <SharedDoc>false</SharedDoc>
  <HLinks>
    <vt:vector size="12" baseType="variant">
      <vt:variant>
        <vt:i4>2031635</vt:i4>
      </vt:variant>
      <vt:variant>
        <vt:i4>3</vt:i4>
      </vt:variant>
      <vt:variant>
        <vt:i4>0</vt:i4>
      </vt:variant>
      <vt:variant>
        <vt:i4>5</vt:i4>
      </vt:variant>
      <vt:variant>
        <vt:lpwstr>https://www.spec.org/cpu2017/results/res2024q1/cpu2017-20240112-40601.pdf</vt:lpwstr>
      </vt:variant>
      <vt:variant>
        <vt:lpwstr/>
      </vt:variant>
      <vt:variant>
        <vt:i4>1966106</vt:i4>
      </vt:variant>
      <vt:variant>
        <vt:i4>0</vt:i4>
      </vt:variant>
      <vt:variant>
        <vt:i4>0</vt:i4>
      </vt:variant>
      <vt:variant>
        <vt:i4>5</vt:i4>
      </vt:variant>
      <vt:variant>
        <vt:lpwstr>https://www.spec.org/cpu2017/results/res2024q1/cpu2017-20240112-40618.pdf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Pažėra, Aurimas (TD Baltic)</dc:creator>
  <cp:keywords/>
  <dc:description/>
  <cp:lastModifiedBy>Jurgita Žilko</cp:lastModifiedBy>
  <cp:revision>7</cp:revision>
  <dcterms:created xsi:type="dcterms:W3CDTF">2026-05-27T16:59:00Z</dcterms:created>
  <dcterms:modified xsi:type="dcterms:W3CDTF">2026-06-01T13:19:00Z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